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870B5" w14:textId="77777777" w:rsidR="00477A98" w:rsidRPr="003750F0" w:rsidRDefault="00477A98" w:rsidP="00477A98">
      <w:pPr>
        <w:spacing w:before="100" w:beforeAutospacing="1" w:line="360" w:lineRule="auto"/>
        <w:jc w:val="both"/>
        <w:rPr>
          <w:rFonts w:ascii="Calibri" w:hAnsi="Calibri" w:cs="Arial"/>
          <w:color w:val="222222"/>
          <w:shd w:val="clear" w:color="auto" w:fill="FFFFFF"/>
          <w:lang w:val="es-AR" w:eastAsia="es-VE"/>
        </w:rPr>
      </w:pPr>
      <w:r>
        <w:rPr>
          <w:rFonts w:ascii="Calibri" w:hAnsi="Calibri" w:cs="Calibri"/>
          <w:noProof/>
          <w:sz w:val="28"/>
          <w:szCs w:val="28"/>
          <w:lang w:val="es-VE" w:eastAsia="es-VE"/>
        </w:rPr>
        <w:drawing>
          <wp:inline distT="0" distB="0" distL="0" distR="0" wp14:anchorId="33557BA6" wp14:editId="71756A7D">
            <wp:extent cx="2930525" cy="1311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0525" cy="1311275"/>
                    </a:xfrm>
                    <a:prstGeom prst="rect">
                      <a:avLst/>
                    </a:prstGeom>
                    <a:noFill/>
                    <a:ln>
                      <a:noFill/>
                    </a:ln>
                  </pic:spPr>
                </pic:pic>
              </a:graphicData>
            </a:graphic>
          </wp:inline>
        </w:drawing>
      </w:r>
      <w:bookmarkStart w:id="0" w:name="_GoBack"/>
      <w:bookmarkEnd w:id="0"/>
    </w:p>
    <w:p w14:paraId="5398C8C3" w14:textId="1A2E6D15" w:rsidR="00477A98" w:rsidRPr="00A260E4" w:rsidRDefault="00477A98" w:rsidP="00A260E4">
      <w:pPr>
        <w:shd w:val="clear" w:color="auto" w:fill="FFFFFF"/>
        <w:spacing w:line="360" w:lineRule="auto"/>
        <w:jc w:val="both"/>
        <w:rPr>
          <w:rFonts w:ascii="Calibri" w:hAnsi="Calibri"/>
          <w:color w:val="222222"/>
          <w:lang w:eastAsia="es-VE"/>
        </w:rPr>
      </w:pPr>
      <w:r>
        <w:rPr>
          <w:rFonts w:ascii="Calibri" w:hAnsi="Calibri" w:cs="Arial"/>
          <w:color w:val="222222"/>
          <w:shd w:val="clear" w:color="auto" w:fill="FFFFFF"/>
          <w:lang w:eastAsia="es-VE"/>
        </w:rPr>
        <w:t>Caracas  16 de abril de</w:t>
      </w:r>
      <w:r w:rsidR="003F1ED5">
        <w:rPr>
          <w:rFonts w:ascii="Calibri" w:hAnsi="Calibri" w:cs="Arial"/>
          <w:color w:val="222222"/>
          <w:shd w:val="clear" w:color="auto" w:fill="FFFFFF"/>
          <w:lang w:eastAsia="es-VE"/>
        </w:rPr>
        <w:t xml:space="preserve"> 2015</w:t>
      </w:r>
    </w:p>
    <w:p w14:paraId="275AC82B" w14:textId="77777777" w:rsidR="00477A98" w:rsidRPr="003750F0" w:rsidRDefault="00477A98" w:rsidP="00477A98">
      <w:pPr>
        <w:spacing w:before="100" w:beforeAutospacing="1" w:line="360" w:lineRule="auto"/>
        <w:jc w:val="both"/>
        <w:rPr>
          <w:rFonts w:ascii="Calibri" w:hAnsi="Calibri" w:cs="Arial"/>
          <w:color w:val="222222"/>
          <w:shd w:val="clear" w:color="auto" w:fill="FFFFFF"/>
          <w:lang w:eastAsia="es-VE"/>
        </w:rPr>
      </w:pPr>
      <w:r w:rsidRPr="003750F0">
        <w:rPr>
          <w:rFonts w:ascii="Calibri" w:hAnsi="Calibri" w:cs="Arial"/>
          <w:b/>
          <w:color w:val="222222"/>
          <w:shd w:val="clear" w:color="auto" w:fill="FFFFFF"/>
          <w:lang w:eastAsia="es-VE"/>
        </w:rPr>
        <w:t>Informe a la Asamblea de Accionistas del año 201</w:t>
      </w:r>
      <w:r>
        <w:rPr>
          <w:rFonts w:ascii="Calibri" w:hAnsi="Calibri" w:cs="Arial"/>
          <w:b/>
          <w:color w:val="222222"/>
          <w:shd w:val="clear" w:color="auto" w:fill="FFFFFF"/>
          <w:lang w:eastAsia="es-VE"/>
        </w:rPr>
        <w:t>4</w:t>
      </w:r>
      <w:r w:rsidRPr="003750F0">
        <w:rPr>
          <w:rFonts w:ascii="Calibri" w:hAnsi="Calibri" w:cs="Arial"/>
          <w:color w:val="222222"/>
          <w:shd w:val="clear" w:color="auto" w:fill="FFFFFF"/>
          <w:lang w:eastAsia="es-VE"/>
        </w:rPr>
        <w:t>.</w:t>
      </w:r>
    </w:p>
    <w:p w14:paraId="60BDDF9A" w14:textId="77777777" w:rsidR="00477A98" w:rsidRPr="003750F0" w:rsidRDefault="00477A98" w:rsidP="00477A98">
      <w:pPr>
        <w:numPr>
          <w:ilvl w:val="0"/>
          <w:numId w:val="3"/>
        </w:numPr>
        <w:spacing w:before="100" w:beforeAutospacing="1" w:line="360" w:lineRule="auto"/>
        <w:ind w:left="426" w:hanging="425"/>
        <w:jc w:val="both"/>
        <w:rPr>
          <w:rFonts w:ascii="Calibri" w:hAnsi="Calibri" w:cs="Arial"/>
          <w:b/>
          <w:color w:val="222222"/>
          <w:shd w:val="clear" w:color="auto" w:fill="FFFFFF"/>
          <w:lang w:eastAsia="es-VE"/>
        </w:rPr>
      </w:pPr>
      <w:r w:rsidRPr="003750F0">
        <w:rPr>
          <w:rFonts w:ascii="Calibri" w:hAnsi="Calibri" w:cs="Arial"/>
          <w:b/>
          <w:color w:val="222222"/>
          <w:shd w:val="clear" w:color="auto" w:fill="FFFFFF"/>
          <w:lang w:eastAsia="es-VE"/>
        </w:rPr>
        <w:t>Inversiones realizadas :</w:t>
      </w:r>
    </w:p>
    <w:p w14:paraId="6F3809CF" w14:textId="005595A1" w:rsidR="00477A98" w:rsidRPr="003750F0" w:rsidRDefault="00477A98" w:rsidP="00477A98">
      <w:pPr>
        <w:spacing w:before="100" w:beforeAutospacing="1" w:line="360" w:lineRule="auto"/>
        <w:jc w:val="both"/>
        <w:rPr>
          <w:rFonts w:ascii="Calibri" w:hAnsi="Calibri" w:cs="Arial"/>
          <w:color w:val="222222"/>
          <w:shd w:val="clear" w:color="auto" w:fill="FFFFFF"/>
          <w:lang w:eastAsia="es-VE"/>
        </w:rPr>
      </w:pPr>
      <w:r>
        <w:rPr>
          <w:rFonts w:ascii="Calibri" w:hAnsi="Calibri" w:cs="Arial"/>
          <w:color w:val="222222"/>
          <w:shd w:val="clear" w:color="auto" w:fill="FFFFFF"/>
          <w:lang w:eastAsia="es-VE"/>
        </w:rPr>
        <w:t>Durante el año 2014</w:t>
      </w:r>
      <w:r w:rsidRPr="003750F0">
        <w:rPr>
          <w:rFonts w:ascii="Calibri" w:hAnsi="Calibri" w:cs="Arial"/>
          <w:color w:val="222222"/>
          <w:shd w:val="clear" w:color="auto" w:fill="FFFFFF"/>
          <w:lang w:eastAsia="es-VE"/>
        </w:rPr>
        <w:t xml:space="preserve"> </w:t>
      </w:r>
      <w:r>
        <w:rPr>
          <w:rFonts w:ascii="Calibri" w:hAnsi="Calibri" w:cs="Arial"/>
          <w:color w:val="222222"/>
          <w:shd w:val="clear" w:color="auto" w:fill="FFFFFF"/>
          <w:lang w:eastAsia="es-VE"/>
        </w:rPr>
        <w:t xml:space="preserve"> </w:t>
      </w:r>
      <w:r w:rsidR="00A260E4">
        <w:rPr>
          <w:rFonts w:ascii="Calibri" w:hAnsi="Calibri" w:cs="Arial"/>
          <w:color w:val="222222"/>
          <w:shd w:val="clear" w:color="auto" w:fill="FFFFFF"/>
          <w:lang w:eastAsia="es-VE"/>
        </w:rPr>
        <w:t xml:space="preserve">continuamos el esfuerzo por </w:t>
      </w:r>
      <w:r>
        <w:rPr>
          <w:rFonts w:ascii="Calibri" w:hAnsi="Calibri" w:cs="Arial"/>
          <w:color w:val="222222"/>
          <w:shd w:val="clear" w:color="auto" w:fill="FFFFFF"/>
          <w:lang w:eastAsia="es-VE"/>
        </w:rPr>
        <w:t xml:space="preserve"> recuperar los tropiezos ocurridos en nuestra</w:t>
      </w:r>
      <w:r w:rsidRPr="003750F0">
        <w:rPr>
          <w:rFonts w:ascii="Calibri" w:hAnsi="Calibri" w:cs="Arial"/>
          <w:color w:val="222222"/>
          <w:shd w:val="clear" w:color="auto" w:fill="FFFFFF"/>
          <w:lang w:eastAsia="es-VE"/>
        </w:rPr>
        <w:t xml:space="preserve"> primera inversión. </w:t>
      </w:r>
      <w:r w:rsidR="00A260E4">
        <w:rPr>
          <w:rFonts w:ascii="Calibri" w:hAnsi="Calibri" w:cs="Arial"/>
          <w:color w:val="222222"/>
          <w:shd w:val="clear" w:color="auto" w:fill="FFFFFF"/>
          <w:lang w:eastAsia="es-VE"/>
        </w:rPr>
        <w:t xml:space="preserve">Por diferencias gerenciales e incompatibilidad entre los  accionistas y por seguir viéndole potencial a la empresa, en lugar de revender nuestra participación como lo plantearon </w:t>
      </w:r>
      <w:r w:rsidR="00D17555">
        <w:rPr>
          <w:rFonts w:ascii="Calibri" w:hAnsi="Calibri" w:cs="Arial"/>
          <w:color w:val="222222"/>
          <w:shd w:val="clear" w:color="auto" w:fill="FFFFFF"/>
          <w:lang w:eastAsia="es-VE"/>
        </w:rPr>
        <w:t xml:space="preserve">en mayo del 2013 </w:t>
      </w:r>
      <w:r w:rsidR="00A260E4">
        <w:rPr>
          <w:rFonts w:ascii="Calibri" w:hAnsi="Calibri" w:cs="Arial"/>
          <w:color w:val="222222"/>
          <w:shd w:val="clear" w:color="auto" w:fill="FFFFFF"/>
          <w:lang w:eastAsia="es-VE"/>
        </w:rPr>
        <w:t>los socios originales</w:t>
      </w:r>
      <w:r w:rsidR="00D17555">
        <w:rPr>
          <w:rFonts w:ascii="Calibri" w:hAnsi="Calibri" w:cs="Arial"/>
          <w:color w:val="222222"/>
          <w:shd w:val="clear" w:color="auto" w:fill="FFFFFF"/>
          <w:lang w:eastAsia="es-VE"/>
        </w:rPr>
        <w:t>, justo luego de haber realizado</w:t>
      </w:r>
      <w:r w:rsidR="00A260E4">
        <w:rPr>
          <w:rFonts w:ascii="Calibri" w:hAnsi="Calibri" w:cs="Arial"/>
          <w:color w:val="222222"/>
          <w:shd w:val="clear" w:color="auto" w:fill="FFFFFF"/>
          <w:lang w:eastAsia="es-VE"/>
        </w:rPr>
        <w:t xml:space="preserve"> nuestra primera inyección de capital, </w:t>
      </w:r>
      <w:r w:rsidR="00D17555">
        <w:rPr>
          <w:rFonts w:ascii="Calibri" w:hAnsi="Calibri" w:cs="Arial"/>
          <w:color w:val="222222"/>
          <w:shd w:val="clear" w:color="auto" w:fill="FFFFFF"/>
          <w:lang w:eastAsia="es-VE"/>
        </w:rPr>
        <w:t>en agosto del 2014</w:t>
      </w:r>
      <w:r w:rsidR="00A260E4">
        <w:rPr>
          <w:rFonts w:ascii="Calibri" w:hAnsi="Calibri" w:cs="Arial"/>
          <w:color w:val="222222"/>
          <w:shd w:val="clear" w:color="auto" w:fill="FFFFFF"/>
          <w:lang w:eastAsia="es-VE"/>
        </w:rPr>
        <w:t xml:space="preserve"> aumentamos nuestra participación al 10</w:t>
      </w:r>
      <w:r w:rsidR="00A260E4" w:rsidRPr="003750F0">
        <w:rPr>
          <w:rFonts w:ascii="Calibri" w:hAnsi="Calibri" w:cs="Arial"/>
          <w:color w:val="222222"/>
          <w:shd w:val="clear" w:color="auto" w:fill="FFFFFF"/>
          <w:lang w:eastAsia="es-VE"/>
        </w:rPr>
        <w:t>0 %</w:t>
      </w:r>
      <w:r w:rsidR="00A260E4">
        <w:rPr>
          <w:rFonts w:ascii="Calibri" w:hAnsi="Calibri" w:cs="Arial"/>
          <w:color w:val="222222"/>
          <w:shd w:val="clear" w:color="auto" w:fill="FFFFFF"/>
          <w:lang w:eastAsia="es-VE"/>
        </w:rPr>
        <w:t xml:space="preserve"> del </w:t>
      </w:r>
      <w:r w:rsidR="00A260E4" w:rsidRPr="003750F0">
        <w:rPr>
          <w:rFonts w:ascii="Calibri" w:hAnsi="Calibri" w:cs="Arial"/>
          <w:color w:val="222222"/>
          <w:shd w:val="clear" w:color="auto" w:fill="FFFFFF"/>
          <w:lang w:eastAsia="es-VE"/>
        </w:rPr>
        <w:t xml:space="preserve"> </w:t>
      </w:r>
      <w:r w:rsidR="00A260E4">
        <w:rPr>
          <w:rFonts w:ascii="Calibri" w:hAnsi="Calibri" w:cs="Arial"/>
          <w:color w:val="222222"/>
          <w:shd w:val="clear" w:color="auto" w:fill="FFFFFF"/>
          <w:lang w:eastAsia="es-VE"/>
        </w:rPr>
        <w:t xml:space="preserve">patrimonio de </w:t>
      </w:r>
      <w:r w:rsidRPr="003750F0">
        <w:rPr>
          <w:rFonts w:ascii="Calibri" w:hAnsi="Calibri" w:cs="Arial"/>
          <w:color w:val="222222"/>
          <w:shd w:val="clear" w:color="auto" w:fill="FFFFFF"/>
          <w:lang w:eastAsia="es-VE"/>
        </w:rPr>
        <w:t>Farmacia y Perfumería S</w:t>
      </w:r>
      <w:r w:rsidR="00D17555">
        <w:rPr>
          <w:rFonts w:ascii="Calibri" w:hAnsi="Calibri" w:cs="Arial"/>
          <w:color w:val="222222"/>
          <w:shd w:val="clear" w:color="auto" w:fill="FFFFFF"/>
          <w:lang w:eastAsia="es-VE"/>
        </w:rPr>
        <w:t>an Luis Gonzaga C.A. (Farmacia)</w:t>
      </w:r>
      <w:r w:rsidR="00A260E4">
        <w:rPr>
          <w:rFonts w:ascii="Calibri" w:hAnsi="Calibri" w:cs="Arial"/>
          <w:color w:val="222222"/>
          <w:shd w:val="clear" w:color="auto" w:fill="FFFFFF"/>
          <w:lang w:eastAsia="es-VE"/>
        </w:rPr>
        <w:t xml:space="preserve"> y tomamos posesión  de  la presidencia y </w:t>
      </w:r>
      <w:r w:rsidR="00D17555">
        <w:rPr>
          <w:rFonts w:ascii="Calibri" w:hAnsi="Calibri" w:cs="Arial"/>
          <w:color w:val="222222"/>
          <w:shd w:val="clear" w:color="auto" w:fill="FFFFFF"/>
          <w:lang w:eastAsia="es-VE"/>
        </w:rPr>
        <w:t xml:space="preserve">nombramos </w:t>
      </w:r>
      <w:r w:rsidR="00A260E4">
        <w:rPr>
          <w:rFonts w:ascii="Calibri" w:hAnsi="Calibri" w:cs="Arial"/>
          <w:color w:val="222222"/>
          <w:shd w:val="clear" w:color="auto" w:fill="FFFFFF"/>
          <w:lang w:eastAsia="es-VE"/>
        </w:rPr>
        <w:t xml:space="preserve"> todos </w:t>
      </w:r>
      <w:r w:rsidR="00D17555">
        <w:rPr>
          <w:rFonts w:ascii="Calibri" w:hAnsi="Calibri" w:cs="Arial"/>
          <w:color w:val="222222"/>
          <w:shd w:val="clear" w:color="auto" w:fill="FFFFFF"/>
          <w:lang w:eastAsia="es-VE"/>
        </w:rPr>
        <w:t xml:space="preserve"> los</w:t>
      </w:r>
      <w:r w:rsidR="00A260E4">
        <w:rPr>
          <w:rFonts w:ascii="Calibri" w:hAnsi="Calibri" w:cs="Arial"/>
          <w:color w:val="222222"/>
          <w:shd w:val="clear" w:color="auto" w:fill="FFFFFF"/>
          <w:lang w:eastAsia="es-VE"/>
        </w:rPr>
        <w:t xml:space="preserve"> directores de </w:t>
      </w:r>
      <w:r w:rsidR="00D17555">
        <w:rPr>
          <w:rFonts w:ascii="Calibri" w:hAnsi="Calibri" w:cs="Arial"/>
          <w:color w:val="222222"/>
          <w:shd w:val="clear" w:color="auto" w:fill="FFFFFF"/>
          <w:lang w:eastAsia="es-VE"/>
        </w:rPr>
        <w:t xml:space="preserve">su </w:t>
      </w:r>
      <w:r w:rsidR="00A260E4">
        <w:rPr>
          <w:rFonts w:ascii="Calibri" w:hAnsi="Calibri" w:cs="Arial"/>
          <w:color w:val="222222"/>
          <w:shd w:val="clear" w:color="auto" w:fill="FFFFFF"/>
          <w:lang w:eastAsia="es-VE"/>
        </w:rPr>
        <w:t>junta directiva</w:t>
      </w:r>
      <w:r w:rsidRPr="003750F0">
        <w:rPr>
          <w:rFonts w:ascii="Calibri" w:hAnsi="Calibri" w:cs="Arial"/>
          <w:color w:val="222222"/>
          <w:shd w:val="clear" w:color="auto" w:fill="FFFFFF"/>
          <w:lang w:eastAsia="es-VE"/>
        </w:rPr>
        <w:t>. Farmacia</w:t>
      </w:r>
      <w:r w:rsidR="00D17555">
        <w:rPr>
          <w:rFonts w:ascii="Calibri" w:hAnsi="Calibri" w:cs="Arial"/>
          <w:color w:val="222222"/>
          <w:shd w:val="clear" w:color="auto" w:fill="FFFFFF"/>
          <w:lang w:eastAsia="es-VE"/>
        </w:rPr>
        <w:t xml:space="preserve">, desde el principio,  </w:t>
      </w:r>
      <w:r w:rsidRPr="003750F0">
        <w:rPr>
          <w:rFonts w:ascii="Calibri" w:hAnsi="Calibri" w:cs="Arial"/>
          <w:color w:val="222222"/>
          <w:shd w:val="clear" w:color="auto" w:fill="FFFFFF"/>
          <w:lang w:eastAsia="es-VE"/>
        </w:rPr>
        <w:t xml:space="preserve"> la habíamos considerado en la Junta Directiva como una empresa que requería un rescate. </w:t>
      </w:r>
      <w:r w:rsidR="00A260E4">
        <w:rPr>
          <w:rFonts w:ascii="Calibri" w:hAnsi="Calibri" w:cs="Arial"/>
          <w:color w:val="222222"/>
          <w:shd w:val="clear" w:color="auto" w:fill="FFFFFF"/>
          <w:lang w:eastAsia="es-VE"/>
        </w:rPr>
        <w:t xml:space="preserve"> En abril del año 2013 habíamos aportado  Bs 6 millones para cubrir su déficit patrimonial</w:t>
      </w:r>
      <w:r w:rsidR="00D17555">
        <w:rPr>
          <w:rFonts w:ascii="Calibri" w:hAnsi="Calibri" w:cs="Arial"/>
          <w:color w:val="222222"/>
          <w:shd w:val="clear" w:color="auto" w:fill="FFFFFF"/>
          <w:lang w:eastAsia="es-VE"/>
        </w:rPr>
        <w:t xml:space="preserve">, </w:t>
      </w:r>
      <w:r w:rsidR="00A260E4">
        <w:rPr>
          <w:rFonts w:ascii="Calibri" w:hAnsi="Calibri" w:cs="Arial"/>
          <w:color w:val="222222"/>
          <w:shd w:val="clear" w:color="auto" w:fill="FFFFFF"/>
          <w:lang w:eastAsia="es-VE"/>
        </w:rPr>
        <w:t xml:space="preserve"> para sanear sus</w:t>
      </w:r>
      <w:r w:rsidRPr="003750F0">
        <w:rPr>
          <w:rFonts w:ascii="Calibri" w:hAnsi="Calibri" w:cs="Arial"/>
          <w:color w:val="222222"/>
          <w:shd w:val="clear" w:color="auto" w:fill="FFFFFF"/>
          <w:lang w:eastAsia="es-VE"/>
        </w:rPr>
        <w:t xml:space="preserve"> deficiencias en la gerencia, en los sistemas de información, y </w:t>
      </w:r>
      <w:r w:rsidR="00D17555">
        <w:rPr>
          <w:rFonts w:ascii="Calibri" w:hAnsi="Calibri" w:cs="Arial"/>
          <w:color w:val="222222"/>
          <w:shd w:val="clear" w:color="auto" w:fill="FFFFFF"/>
          <w:lang w:eastAsia="es-VE"/>
        </w:rPr>
        <w:t xml:space="preserve">poder aumentar las ventas y revertir su </w:t>
      </w:r>
      <w:r w:rsidRPr="003750F0">
        <w:rPr>
          <w:rFonts w:ascii="Calibri" w:hAnsi="Calibri" w:cs="Arial"/>
          <w:color w:val="222222"/>
          <w:shd w:val="clear" w:color="auto" w:fill="FFFFFF"/>
          <w:lang w:eastAsia="es-VE"/>
        </w:rPr>
        <w:t>flujo de caja negativo</w:t>
      </w:r>
      <w:r w:rsidR="00D17555">
        <w:rPr>
          <w:rFonts w:ascii="Calibri" w:hAnsi="Calibri" w:cs="Arial"/>
          <w:color w:val="222222"/>
          <w:shd w:val="clear" w:color="auto" w:fill="FFFFFF"/>
          <w:lang w:eastAsia="es-VE"/>
        </w:rPr>
        <w:t>, que incluía retrasos con</w:t>
      </w:r>
      <w:r w:rsidRPr="003750F0">
        <w:rPr>
          <w:rFonts w:ascii="Calibri" w:hAnsi="Calibri" w:cs="Arial"/>
          <w:color w:val="222222"/>
          <w:shd w:val="clear" w:color="auto" w:fill="FFFFFF"/>
          <w:lang w:eastAsia="es-VE"/>
        </w:rPr>
        <w:t xml:space="preserve"> proveedores. </w:t>
      </w:r>
      <w:r w:rsidR="00445F86">
        <w:rPr>
          <w:rFonts w:ascii="Calibri" w:hAnsi="Calibri" w:cs="Arial"/>
          <w:color w:val="222222"/>
          <w:shd w:val="clear" w:color="auto" w:fill="FFFFFF"/>
          <w:lang w:eastAsia="es-VE"/>
        </w:rPr>
        <w:t xml:space="preserve"> Hasta la fecha hemos hecho aportes de Bs. 23.750.000 en Farmacia, de los cuales Bs. 8.000.000 </w:t>
      </w:r>
      <w:r w:rsidR="00031BC8">
        <w:rPr>
          <w:rFonts w:ascii="Calibri" w:hAnsi="Calibri" w:cs="Arial"/>
          <w:color w:val="222222"/>
          <w:shd w:val="clear" w:color="auto" w:fill="FFFFFF"/>
          <w:lang w:eastAsia="es-VE"/>
        </w:rPr>
        <w:t xml:space="preserve">(Bs. 6.000.000 en el año 2014 y Bs 2.000.000 en el año 2015) </w:t>
      </w:r>
      <w:r w:rsidRPr="003750F0">
        <w:rPr>
          <w:rFonts w:ascii="Calibri" w:hAnsi="Calibri" w:cs="Arial"/>
          <w:color w:val="222222"/>
          <w:shd w:val="clear" w:color="auto" w:fill="FFFFFF"/>
          <w:lang w:eastAsia="es-VE"/>
        </w:rPr>
        <w:t>se generaron mediante la suscripción de cuentas de participación</w:t>
      </w:r>
      <w:r w:rsidR="00E50D7D">
        <w:rPr>
          <w:rFonts w:ascii="Calibri" w:hAnsi="Calibri" w:cs="Arial"/>
          <w:color w:val="222222"/>
          <w:shd w:val="clear" w:color="auto" w:fill="FFFFFF"/>
          <w:lang w:eastAsia="es-VE"/>
        </w:rPr>
        <w:t xml:space="preserve"> con los accionistas J</w:t>
      </w:r>
      <w:r>
        <w:rPr>
          <w:rFonts w:ascii="Calibri" w:hAnsi="Calibri" w:cs="Arial"/>
          <w:color w:val="222222"/>
          <w:shd w:val="clear" w:color="auto" w:fill="FFFFFF"/>
          <w:lang w:eastAsia="es-VE"/>
        </w:rPr>
        <w:t>o</w:t>
      </w:r>
      <w:r w:rsidR="00E50D7D">
        <w:rPr>
          <w:rFonts w:ascii="Calibri" w:hAnsi="Calibri" w:cs="Arial"/>
          <w:color w:val="222222"/>
          <w:shd w:val="clear" w:color="auto" w:fill="FFFFFF"/>
          <w:lang w:eastAsia="es-VE"/>
        </w:rPr>
        <w:t>h</w:t>
      </w:r>
      <w:r>
        <w:rPr>
          <w:rFonts w:ascii="Calibri" w:hAnsi="Calibri" w:cs="Arial"/>
          <w:color w:val="222222"/>
          <w:shd w:val="clear" w:color="auto" w:fill="FFFFFF"/>
          <w:lang w:eastAsia="es-VE"/>
        </w:rPr>
        <w:t>n Pettus</w:t>
      </w:r>
      <w:r w:rsidR="00445F86">
        <w:rPr>
          <w:rFonts w:ascii="Calibri" w:hAnsi="Calibri" w:cs="Arial"/>
          <w:color w:val="222222"/>
          <w:shd w:val="clear" w:color="auto" w:fill="FFFFFF"/>
          <w:lang w:eastAsia="es-VE"/>
        </w:rPr>
        <w:t xml:space="preserve"> y </w:t>
      </w:r>
      <w:proofErr w:type="spellStart"/>
      <w:r w:rsidR="00445F86">
        <w:rPr>
          <w:rFonts w:ascii="Calibri" w:hAnsi="Calibri" w:cs="Arial"/>
          <w:color w:val="222222"/>
          <w:shd w:val="clear" w:color="auto" w:fill="FFFFFF"/>
          <w:lang w:eastAsia="es-VE"/>
        </w:rPr>
        <w:t>CrecePymes</w:t>
      </w:r>
      <w:proofErr w:type="spellEnd"/>
      <w:r w:rsidR="00445F86">
        <w:rPr>
          <w:rFonts w:ascii="Calibri" w:hAnsi="Calibri" w:cs="Arial"/>
          <w:color w:val="222222"/>
          <w:shd w:val="clear" w:color="auto" w:fill="FFFFFF"/>
          <w:lang w:eastAsia="es-VE"/>
        </w:rPr>
        <w:t xml:space="preserve"> C.A..</w:t>
      </w:r>
      <w:r w:rsidR="00031BC8">
        <w:rPr>
          <w:rFonts w:ascii="Calibri" w:hAnsi="Calibri" w:cs="Arial"/>
          <w:color w:val="222222"/>
          <w:shd w:val="clear" w:color="auto" w:fill="FFFFFF"/>
          <w:lang w:eastAsia="es-VE"/>
        </w:rPr>
        <w:t xml:space="preserve"> </w:t>
      </w:r>
      <w:r w:rsidR="00445F86">
        <w:rPr>
          <w:rFonts w:ascii="Calibri" w:hAnsi="Calibri" w:cs="Arial"/>
          <w:color w:val="222222"/>
          <w:shd w:val="clear" w:color="auto" w:fill="FFFFFF"/>
          <w:lang w:eastAsia="es-VE"/>
        </w:rPr>
        <w:t xml:space="preserve">Estos a su vez, </w:t>
      </w:r>
      <w:r w:rsidR="00031BC8">
        <w:rPr>
          <w:rFonts w:ascii="Calibri" w:hAnsi="Calibri" w:cs="Arial"/>
          <w:color w:val="222222"/>
          <w:shd w:val="clear" w:color="auto" w:fill="FFFFFF"/>
          <w:lang w:eastAsia="es-VE"/>
        </w:rPr>
        <w:t xml:space="preserve">en el asamblea Anual del año 2014 </w:t>
      </w:r>
      <w:r w:rsidR="00445F86">
        <w:rPr>
          <w:rFonts w:ascii="Calibri" w:hAnsi="Calibri" w:cs="Arial"/>
          <w:color w:val="222222"/>
          <w:shd w:val="clear" w:color="auto" w:fill="FFFFFF"/>
          <w:lang w:eastAsia="es-VE"/>
        </w:rPr>
        <w:t xml:space="preserve">dieron la oportunidad </w:t>
      </w:r>
      <w:r w:rsidR="006F488B">
        <w:rPr>
          <w:rFonts w:ascii="Calibri" w:hAnsi="Calibri" w:cs="Arial"/>
          <w:color w:val="222222"/>
          <w:shd w:val="clear" w:color="auto" w:fill="FFFFFF"/>
          <w:lang w:eastAsia="es-VE"/>
        </w:rPr>
        <w:t xml:space="preserve">de invertir a través de cuentas de participación </w:t>
      </w:r>
      <w:r w:rsidR="00445F86">
        <w:rPr>
          <w:rFonts w:ascii="Calibri" w:hAnsi="Calibri" w:cs="Arial"/>
          <w:color w:val="222222"/>
          <w:shd w:val="clear" w:color="auto" w:fill="FFFFFF"/>
          <w:lang w:eastAsia="es-VE"/>
        </w:rPr>
        <w:t xml:space="preserve">a </w:t>
      </w:r>
      <w:r w:rsidR="006F488B">
        <w:rPr>
          <w:rFonts w:ascii="Calibri" w:hAnsi="Calibri" w:cs="Arial"/>
          <w:color w:val="222222"/>
          <w:shd w:val="clear" w:color="auto" w:fill="FFFFFF"/>
          <w:lang w:eastAsia="es-VE"/>
        </w:rPr>
        <w:t xml:space="preserve">todos los accionistas de Inversiones CrecePymes C.A. </w:t>
      </w:r>
      <w:r w:rsidR="00445F86">
        <w:rPr>
          <w:rFonts w:ascii="Calibri" w:hAnsi="Calibri" w:cs="Arial"/>
          <w:color w:val="222222"/>
          <w:shd w:val="clear" w:color="auto" w:fill="FFFFFF"/>
          <w:lang w:eastAsia="es-VE"/>
        </w:rPr>
        <w:t xml:space="preserve"> </w:t>
      </w:r>
      <w:r w:rsidR="006F488B">
        <w:rPr>
          <w:rFonts w:ascii="Calibri" w:hAnsi="Calibri" w:cs="Arial"/>
          <w:color w:val="222222"/>
          <w:shd w:val="clear" w:color="auto" w:fill="FFFFFF"/>
          <w:lang w:eastAsia="es-VE"/>
        </w:rPr>
        <w:t xml:space="preserve">y </w:t>
      </w:r>
      <w:r w:rsidR="00031BC8">
        <w:rPr>
          <w:rFonts w:ascii="Calibri" w:hAnsi="Calibri" w:cs="Arial"/>
          <w:color w:val="222222"/>
          <w:shd w:val="clear" w:color="auto" w:fill="FFFFFF"/>
          <w:lang w:eastAsia="es-VE"/>
        </w:rPr>
        <w:t>4 accionistas</w:t>
      </w:r>
      <w:r w:rsidR="00445F86">
        <w:rPr>
          <w:rFonts w:ascii="Calibri" w:hAnsi="Calibri" w:cs="Arial"/>
          <w:color w:val="222222"/>
          <w:shd w:val="clear" w:color="auto" w:fill="FFFFFF"/>
          <w:lang w:eastAsia="es-VE"/>
        </w:rPr>
        <w:t xml:space="preserve"> </w:t>
      </w:r>
      <w:r w:rsidR="006F488B">
        <w:rPr>
          <w:rFonts w:ascii="Calibri" w:hAnsi="Calibri" w:cs="Arial"/>
          <w:color w:val="222222"/>
          <w:shd w:val="clear" w:color="auto" w:fill="FFFFFF"/>
          <w:lang w:eastAsia="es-VE"/>
        </w:rPr>
        <w:t xml:space="preserve">decidieron </w:t>
      </w:r>
      <w:r w:rsidR="00CF43DD">
        <w:rPr>
          <w:rFonts w:ascii="Calibri" w:hAnsi="Calibri" w:cs="Arial"/>
          <w:color w:val="222222"/>
          <w:shd w:val="clear" w:color="auto" w:fill="FFFFFF"/>
          <w:lang w:eastAsia="es-VE"/>
        </w:rPr>
        <w:t>participar y sus</w:t>
      </w:r>
      <w:r w:rsidR="00445F86">
        <w:rPr>
          <w:rFonts w:ascii="Calibri" w:hAnsi="Calibri" w:cs="Arial"/>
          <w:color w:val="222222"/>
          <w:shd w:val="clear" w:color="auto" w:fill="FFFFFF"/>
          <w:lang w:eastAsia="es-VE"/>
        </w:rPr>
        <w:t xml:space="preserve"> </w:t>
      </w:r>
      <w:r w:rsidR="006F488B">
        <w:rPr>
          <w:rFonts w:ascii="Calibri" w:hAnsi="Calibri" w:cs="Arial"/>
          <w:color w:val="222222"/>
          <w:shd w:val="clear" w:color="auto" w:fill="FFFFFF"/>
          <w:lang w:eastAsia="es-VE"/>
        </w:rPr>
        <w:t xml:space="preserve">aportes en </w:t>
      </w:r>
      <w:r w:rsidR="00445F86">
        <w:rPr>
          <w:rFonts w:ascii="Calibri" w:hAnsi="Calibri" w:cs="Arial"/>
          <w:color w:val="222222"/>
          <w:shd w:val="clear" w:color="auto" w:fill="FFFFFF"/>
          <w:lang w:eastAsia="es-VE"/>
        </w:rPr>
        <w:t xml:space="preserve">están en las oficinas de la empresa. </w:t>
      </w:r>
      <w:r w:rsidR="006F488B">
        <w:rPr>
          <w:rFonts w:ascii="Calibri" w:hAnsi="Calibri" w:cs="Arial"/>
          <w:color w:val="222222"/>
          <w:shd w:val="clear" w:color="auto" w:fill="FFFFFF"/>
          <w:lang w:eastAsia="es-VE"/>
        </w:rPr>
        <w:t>En el mes de marzo del año 2015, Inversiones CrecePymes C.A. hizo otro aporte a Farmacia por Bs 2 .000.000 que lo requería y</w:t>
      </w:r>
      <w:r w:rsidR="007469B1">
        <w:rPr>
          <w:rFonts w:ascii="Calibri" w:hAnsi="Calibri" w:cs="Arial"/>
          <w:color w:val="222222"/>
          <w:shd w:val="clear" w:color="auto" w:fill="FFFFFF"/>
          <w:lang w:eastAsia="es-VE"/>
        </w:rPr>
        <w:t xml:space="preserve">  </w:t>
      </w:r>
      <w:r w:rsidR="006F488B">
        <w:rPr>
          <w:rFonts w:ascii="Calibri" w:hAnsi="Calibri" w:cs="Arial"/>
          <w:color w:val="222222"/>
          <w:shd w:val="clear" w:color="auto" w:fill="FFFFFF"/>
          <w:lang w:eastAsia="es-VE"/>
        </w:rPr>
        <w:t xml:space="preserve">lo hizo emitiendo contratos de cuenta de participación que suscribieron el </w:t>
      </w:r>
      <w:r w:rsidR="006F488B">
        <w:rPr>
          <w:rFonts w:ascii="Calibri" w:hAnsi="Calibri" w:cs="Arial"/>
          <w:color w:val="222222"/>
          <w:shd w:val="clear" w:color="auto" w:fill="FFFFFF"/>
          <w:lang w:eastAsia="es-VE"/>
        </w:rPr>
        <w:lastRenderedPageBreak/>
        <w:t xml:space="preserve">Sr. </w:t>
      </w:r>
      <w:r w:rsidR="007469B1">
        <w:rPr>
          <w:rFonts w:ascii="Calibri" w:hAnsi="Calibri" w:cs="Arial"/>
          <w:color w:val="222222"/>
          <w:shd w:val="clear" w:color="auto" w:fill="FFFFFF"/>
          <w:lang w:eastAsia="es-VE"/>
        </w:rPr>
        <w:t>J</w:t>
      </w:r>
      <w:r w:rsidR="00CF43DD">
        <w:rPr>
          <w:rFonts w:ascii="Calibri" w:hAnsi="Calibri" w:cs="Arial"/>
          <w:color w:val="222222"/>
          <w:shd w:val="clear" w:color="auto" w:fill="FFFFFF"/>
          <w:lang w:eastAsia="es-VE"/>
        </w:rPr>
        <w:t>o</w:t>
      </w:r>
      <w:r w:rsidR="007469B1">
        <w:rPr>
          <w:rFonts w:ascii="Calibri" w:hAnsi="Calibri" w:cs="Arial"/>
          <w:color w:val="222222"/>
          <w:shd w:val="clear" w:color="auto" w:fill="FFFFFF"/>
          <w:lang w:eastAsia="es-VE"/>
        </w:rPr>
        <w:t>h</w:t>
      </w:r>
      <w:r w:rsidR="00CF43DD">
        <w:rPr>
          <w:rFonts w:ascii="Calibri" w:hAnsi="Calibri" w:cs="Arial"/>
          <w:color w:val="222222"/>
          <w:shd w:val="clear" w:color="auto" w:fill="FFFFFF"/>
          <w:lang w:eastAsia="es-VE"/>
        </w:rPr>
        <w:t xml:space="preserve">n Pettus y </w:t>
      </w:r>
      <w:proofErr w:type="spellStart"/>
      <w:r w:rsidR="00CF43DD">
        <w:rPr>
          <w:rFonts w:ascii="Calibri" w:hAnsi="Calibri" w:cs="Arial"/>
          <w:color w:val="222222"/>
          <w:shd w:val="clear" w:color="auto" w:fill="FFFFFF"/>
          <w:lang w:eastAsia="es-VE"/>
        </w:rPr>
        <w:t>CrecePymes</w:t>
      </w:r>
      <w:proofErr w:type="spellEnd"/>
      <w:r w:rsidR="00CF43DD">
        <w:rPr>
          <w:rFonts w:ascii="Calibri" w:hAnsi="Calibri" w:cs="Arial"/>
          <w:color w:val="222222"/>
          <w:shd w:val="clear" w:color="auto" w:fill="FFFFFF"/>
          <w:lang w:eastAsia="es-VE"/>
        </w:rPr>
        <w:t xml:space="preserve"> C.A</w:t>
      </w:r>
      <w:r w:rsidR="006F488B">
        <w:rPr>
          <w:rFonts w:ascii="Calibri" w:hAnsi="Calibri" w:cs="Arial"/>
          <w:color w:val="222222"/>
          <w:shd w:val="clear" w:color="auto" w:fill="FFFFFF"/>
          <w:lang w:eastAsia="es-VE"/>
        </w:rPr>
        <w:t xml:space="preserve">., quienes se obligaron en dicho contrato a </w:t>
      </w:r>
      <w:r w:rsidR="00A260E4">
        <w:rPr>
          <w:rFonts w:ascii="Calibri" w:hAnsi="Calibri" w:cs="Arial"/>
          <w:color w:val="222222"/>
          <w:shd w:val="clear" w:color="auto" w:fill="FFFFFF"/>
          <w:lang w:eastAsia="es-VE"/>
        </w:rPr>
        <w:t xml:space="preserve"> </w:t>
      </w:r>
      <w:r w:rsidR="006F488B">
        <w:rPr>
          <w:rFonts w:ascii="Calibri" w:hAnsi="Calibri" w:cs="Arial"/>
          <w:color w:val="222222"/>
          <w:shd w:val="clear" w:color="auto" w:fill="FFFFFF"/>
          <w:lang w:eastAsia="es-VE"/>
        </w:rPr>
        <w:t>hacer</w:t>
      </w:r>
      <w:r w:rsidR="00A260E4">
        <w:rPr>
          <w:rFonts w:ascii="Calibri" w:hAnsi="Calibri" w:cs="Arial"/>
          <w:color w:val="222222"/>
          <w:shd w:val="clear" w:color="auto" w:fill="FFFFFF"/>
          <w:lang w:eastAsia="es-VE"/>
        </w:rPr>
        <w:t xml:space="preserve"> </w:t>
      </w:r>
      <w:r>
        <w:rPr>
          <w:rFonts w:ascii="Calibri" w:hAnsi="Calibri" w:cs="Arial"/>
          <w:color w:val="222222"/>
          <w:shd w:val="clear" w:color="auto" w:fill="FFFFFF"/>
          <w:lang w:eastAsia="es-VE"/>
        </w:rPr>
        <w:t xml:space="preserve"> extensiva en las mismas condiciones a participar en dichas cuentas de participación</w:t>
      </w:r>
      <w:r w:rsidR="006F488B">
        <w:rPr>
          <w:rFonts w:ascii="Calibri" w:hAnsi="Calibri" w:cs="Arial"/>
          <w:color w:val="222222"/>
          <w:shd w:val="clear" w:color="auto" w:fill="FFFFFF"/>
          <w:lang w:eastAsia="es-VE"/>
        </w:rPr>
        <w:t xml:space="preserve"> a </w:t>
      </w:r>
      <w:r w:rsidR="00031BC8">
        <w:rPr>
          <w:rFonts w:ascii="Calibri" w:hAnsi="Calibri" w:cs="Arial"/>
          <w:color w:val="222222"/>
          <w:shd w:val="clear" w:color="auto" w:fill="FFFFFF"/>
          <w:lang w:eastAsia="es-VE"/>
        </w:rPr>
        <w:t>todos los</w:t>
      </w:r>
      <w:r w:rsidR="006F488B">
        <w:rPr>
          <w:rFonts w:ascii="Calibri" w:hAnsi="Calibri" w:cs="Arial"/>
          <w:color w:val="222222"/>
          <w:shd w:val="clear" w:color="auto" w:fill="FFFFFF"/>
          <w:lang w:eastAsia="es-VE"/>
        </w:rPr>
        <w:t xml:space="preserve"> accionistas de Inversiones CrecePymes en  esta Asamblea Anual de Accionistas</w:t>
      </w:r>
      <w:r w:rsidRPr="003750F0">
        <w:rPr>
          <w:rFonts w:ascii="Calibri" w:hAnsi="Calibri" w:cs="Arial"/>
          <w:color w:val="222222"/>
          <w:shd w:val="clear" w:color="auto" w:fill="FFFFFF"/>
          <w:lang w:eastAsia="es-VE"/>
        </w:rPr>
        <w:t xml:space="preserve">. </w:t>
      </w:r>
    </w:p>
    <w:p w14:paraId="53DD357F" w14:textId="77777777" w:rsidR="00477A98" w:rsidRPr="003750F0" w:rsidRDefault="00477A98" w:rsidP="00477A98">
      <w:pPr>
        <w:pStyle w:val="Prrafodelista"/>
        <w:spacing w:line="360" w:lineRule="auto"/>
        <w:ind w:left="0"/>
        <w:rPr>
          <w:rFonts w:cs="Arial"/>
          <w:color w:val="222222"/>
          <w:sz w:val="24"/>
          <w:szCs w:val="24"/>
          <w:shd w:val="clear" w:color="auto" w:fill="FFFFFF"/>
          <w:lang w:eastAsia="es-VE"/>
        </w:rPr>
      </w:pPr>
    </w:p>
    <w:p w14:paraId="10078673" w14:textId="52338EFF" w:rsidR="00E84B68" w:rsidRDefault="00477A98" w:rsidP="00E84B68">
      <w:pPr>
        <w:pStyle w:val="Prrafodelista"/>
        <w:spacing w:line="360" w:lineRule="auto"/>
        <w:ind w:left="0"/>
        <w:jc w:val="both"/>
        <w:rPr>
          <w:sz w:val="24"/>
          <w:szCs w:val="24"/>
        </w:rPr>
      </w:pPr>
      <w:r w:rsidRPr="003750F0">
        <w:rPr>
          <w:rFonts w:cs="Arial"/>
          <w:color w:val="222222"/>
          <w:sz w:val="24"/>
          <w:szCs w:val="24"/>
          <w:shd w:val="clear" w:color="auto" w:fill="FFFFFF"/>
          <w:lang w:eastAsia="es-VE"/>
        </w:rPr>
        <w:t>La situación financiera</w:t>
      </w:r>
      <w:r w:rsidR="00A47B82">
        <w:rPr>
          <w:rFonts w:cs="Arial"/>
          <w:color w:val="222222"/>
          <w:sz w:val="24"/>
          <w:szCs w:val="24"/>
          <w:shd w:val="clear" w:color="auto" w:fill="FFFFFF"/>
          <w:lang w:eastAsia="es-VE"/>
        </w:rPr>
        <w:t xml:space="preserve"> de Farmacia durante el año 2014</w:t>
      </w:r>
      <w:r w:rsidRPr="003750F0">
        <w:rPr>
          <w:rFonts w:cs="Arial"/>
          <w:color w:val="222222"/>
          <w:sz w:val="24"/>
          <w:szCs w:val="24"/>
          <w:shd w:val="clear" w:color="auto" w:fill="FFFFFF"/>
          <w:lang w:eastAsia="es-VE"/>
        </w:rPr>
        <w:t>, luego de nuestra inversión</w:t>
      </w:r>
      <w:r w:rsidR="00A47B82">
        <w:rPr>
          <w:rFonts w:cs="Arial"/>
          <w:color w:val="222222"/>
          <w:sz w:val="24"/>
          <w:szCs w:val="24"/>
          <w:shd w:val="clear" w:color="auto" w:fill="FFFFFF"/>
          <w:lang w:eastAsia="es-VE"/>
        </w:rPr>
        <w:t xml:space="preserve"> sigue siendo </w:t>
      </w:r>
      <w:r w:rsidRPr="003750F0">
        <w:rPr>
          <w:rFonts w:cs="Arial"/>
          <w:color w:val="222222"/>
          <w:sz w:val="24"/>
          <w:szCs w:val="24"/>
          <w:shd w:val="clear" w:color="auto" w:fill="FFFFFF"/>
          <w:lang w:eastAsia="es-VE"/>
        </w:rPr>
        <w:t>desfavorable</w:t>
      </w:r>
      <w:r w:rsidR="00A47B82">
        <w:rPr>
          <w:rFonts w:cs="Arial"/>
          <w:color w:val="222222"/>
          <w:sz w:val="24"/>
          <w:szCs w:val="24"/>
          <w:shd w:val="clear" w:color="auto" w:fill="FFFFFF"/>
          <w:lang w:eastAsia="es-VE"/>
        </w:rPr>
        <w:t xml:space="preserve"> aunque para el mes pasado se logró aumentar las ventas y lograr por primera vez un pequeño flujo de caja positivo</w:t>
      </w:r>
      <w:r w:rsidRPr="003750F0">
        <w:rPr>
          <w:rFonts w:cs="Arial"/>
          <w:color w:val="222222"/>
          <w:sz w:val="24"/>
          <w:szCs w:val="24"/>
          <w:shd w:val="clear" w:color="auto" w:fill="FFFFFF"/>
          <w:lang w:eastAsia="es-VE"/>
        </w:rPr>
        <w:t xml:space="preserve">.  </w:t>
      </w:r>
      <w:r w:rsidRPr="003750F0">
        <w:rPr>
          <w:sz w:val="24"/>
          <w:szCs w:val="24"/>
        </w:rPr>
        <w:t xml:space="preserve">Las ventas proyectadas </w:t>
      </w:r>
      <w:r w:rsidR="00A47B82">
        <w:rPr>
          <w:sz w:val="24"/>
          <w:szCs w:val="24"/>
        </w:rPr>
        <w:t xml:space="preserve">con los clientes actuales lograría un flujo de caja positivo aunque no suficiente para </w:t>
      </w:r>
      <w:r w:rsidR="00383291">
        <w:rPr>
          <w:sz w:val="24"/>
          <w:szCs w:val="24"/>
        </w:rPr>
        <w:t xml:space="preserve">hacer rentable </w:t>
      </w:r>
      <w:r w:rsidR="00A47B82">
        <w:rPr>
          <w:sz w:val="24"/>
          <w:szCs w:val="24"/>
        </w:rPr>
        <w:t xml:space="preserve"> la inversion</w:t>
      </w:r>
      <w:r w:rsidRPr="003750F0">
        <w:rPr>
          <w:sz w:val="24"/>
          <w:szCs w:val="24"/>
        </w:rPr>
        <w:t xml:space="preserve">. </w:t>
      </w:r>
      <w:r w:rsidR="00A47B82">
        <w:rPr>
          <w:sz w:val="24"/>
          <w:szCs w:val="24"/>
        </w:rPr>
        <w:t xml:space="preserve"> </w:t>
      </w:r>
      <w:r w:rsidR="00E84B68">
        <w:rPr>
          <w:sz w:val="24"/>
          <w:szCs w:val="24"/>
        </w:rPr>
        <w:t>Hasta la fecha hemos invert</w:t>
      </w:r>
      <w:r w:rsidR="00331FF0">
        <w:rPr>
          <w:sz w:val="24"/>
          <w:szCs w:val="24"/>
        </w:rPr>
        <w:t xml:space="preserve">ido en Farmacia Bs 23.750.000. Los activos de Farmacia </w:t>
      </w:r>
      <w:r w:rsidR="00E84B68">
        <w:rPr>
          <w:sz w:val="24"/>
          <w:szCs w:val="24"/>
        </w:rPr>
        <w:t xml:space="preserve"> luego de haber hecho los ajustes suma Bs 5.973.000 y los pasivos  a Bs 1.143.000</w:t>
      </w:r>
      <w:r w:rsidR="00331FF0">
        <w:rPr>
          <w:sz w:val="24"/>
          <w:szCs w:val="24"/>
        </w:rPr>
        <w:t xml:space="preserve"> (Bs 250.000 a proveedores y Bs 750.000 prestaciones sociales) </w:t>
      </w:r>
      <w:r w:rsidR="00E84B68">
        <w:rPr>
          <w:sz w:val="24"/>
          <w:szCs w:val="24"/>
        </w:rPr>
        <w:t xml:space="preserve">, teniendo un patrimonio  neto de </w:t>
      </w:r>
      <w:r w:rsidR="00383291">
        <w:rPr>
          <w:sz w:val="24"/>
          <w:szCs w:val="24"/>
        </w:rPr>
        <w:t>B</w:t>
      </w:r>
      <w:r w:rsidR="00E84B68">
        <w:rPr>
          <w:sz w:val="24"/>
          <w:szCs w:val="24"/>
        </w:rPr>
        <w:t xml:space="preserve">s 4.830.000.  Como podemos ver para la fecha nuestra  posición neta </w:t>
      </w:r>
      <w:r w:rsidR="00331FF0">
        <w:rPr>
          <w:sz w:val="24"/>
          <w:szCs w:val="24"/>
        </w:rPr>
        <w:t xml:space="preserve">como Inversiones Crece Pymes C.A. en Farmacia </w:t>
      </w:r>
      <w:r w:rsidR="00E84B68">
        <w:rPr>
          <w:sz w:val="24"/>
          <w:szCs w:val="24"/>
        </w:rPr>
        <w:t>(inversion</w:t>
      </w:r>
      <w:r w:rsidR="00331FF0">
        <w:rPr>
          <w:sz w:val="24"/>
          <w:szCs w:val="24"/>
        </w:rPr>
        <w:t xml:space="preserve"> realizada </w:t>
      </w:r>
      <w:r w:rsidR="00E84B68">
        <w:rPr>
          <w:sz w:val="24"/>
          <w:szCs w:val="24"/>
        </w:rPr>
        <w:t xml:space="preserve"> – patrimonio</w:t>
      </w:r>
      <w:r w:rsidR="00331FF0">
        <w:rPr>
          <w:sz w:val="24"/>
          <w:szCs w:val="24"/>
        </w:rPr>
        <w:t xml:space="preserve"> en libro de Farmacia</w:t>
      </w:r>
      <w:r w:rsidR="00E84B68">
        <w:rPr>
          <w:sz w:val="24"/>
          <w:szCs w:val="24"/>
        </w:rPr>
        <w:t>) es negativa en   Bs 18.920.000</w:t>
      </w:r>
      <w:r w:rsidR="00331FF0">
        <w:rPr>
          <w:sz w:val="24"/>
          <w:szCs w:val="24"/>
        </w:rPr>
        <w:t xml:space="preserve">, </w:t>
      </w:r>
      <w:r w:rsidR="00E84B68">
        <w:rPr>
          <w:sz w:val="24"/>
          <w:szCs w:val="24"/>
        </w:rPr>
        <w:t xml:space="preserve"> de los cuales Bs 8 millones fueron inyectados con recursos generados por cuenta de participación. </w:t>
      </w:r>
    </w:p>
    <w:p w14:paraId="40C89136" w14:textId="55AA81D1" w:rsidR="00477A98" w:rsidRPr="003750F0" w:rsidRDefault="00331FF0" w:rsidP="00331FF0">
      <w:pPr>
        <w:spacing w:line="360" w:lineRule="auto"/>
        <w:jc w:val="both"/>
        <w:rPr>
          <w:rFonts w:ascii="Calibri" w:hAnsi="Calibri"/>
        </w:rPr>
      </w:pPr>
      <w:r>
        <w:rPr>
          <w:rFonts w:ascii="Calibri" w:hAnsi="Calibri"/>
        </w:rPr>
        <w:t>No obstante los resultados a la fecha han sido negativos prevemos un viraje a esta situación por dos v</w:t>
      </w:r>
      <w:r w:rsidR="00D30451">
        <w:rPr>
          <w:rFonts w:ascii="Calibri" w:hAnsi="Calibri"/>
        </w:rPr>
        <w:t>ías. La primera es mejoras gerenciales y la segunda vía es aumento de ventas. En cuanto a mejoras gerenciales,  d</w:t>
      </w:r>
      <w:r>
        <w:rPr>
          <w:rFonts w:ascii="Calibri" w:hAnsi="Calibri"/>
        </w:rPr>
        <w:t xml:space="preserve">esde agosto del año 2014 se cambió toda la gerencia. Se logró </w:t>
      </w:r>
      <w:r w:rsidR="00477A98" w:rsidRPr="003750F0">
        <w:rPr>
          <w:rFonts w:ascii="Calibri" w:hAnsi="Calibri"/>
        </w:rPr>
        <w:t xml:space="preserve"> </w:t>
      </w:r>
      <w:r>
        <w:rPr>
          <w:rFonts w:ascii="Calibri" w:hAnsi="Calibri"/>
        </w:rPr>
        <w:t xml:space="preserve">con nueva gerencia de </w:t>
      </w:r>
      <w:r w:rsidR="00383291">
        <w:rPr>
          <w:rFonts w:ascii="Calibri" w:hAnsi="Calibri"/>
        </w:rPr>
        <w:t xml:space="preserve">compras reducir </w:t>
      </w:r>
      <w:r w:rsidR="00D30451">
        <w:rPr>
          <w:rFonts w:ascii="Calibri" w:hAnsi="Calibri"/>
        </w:rPr>
        <w:t>los faltantes de medicina</w:t>
      </w:r>
      <w:r w:rsidR="00383291">
        <w:rPr>
          <w:rFonts w:ascii="Calibri" w:hAnsi="Calibri"/>
        </w:rPr>
        <w:t>s</w:t>
      </w:r>
      <w:r w:rsidR="00D30451">
        <w:rPr>
          <w:rFonts w:ascii="Calibri" w:hAnsi="Calibri"/>
        </w:rPr>
        <w:t xml:space="preserve"> </w:t>
      </w:r>
      <w:r w:rsidR="00383291">
        <w:rPr>
          <w:rFonts w:ascii="Calibri" w:hAnsi="Calibri"/>
        </w:rPr>
        <w:t xml:space="preserve">de 40 % a 5 % mensual a pesar de la escasez de medicamentos </w:t>
      </w:r>
      <w:r w:rsidR="00D30451">
        <w:rPr>
          <w:rFonts w:ascii="Calibri" w:hAnsi="Calibri"/>
        </w:rPr>
        <w:t xml:space="preserve">que afectan a toda la industria. Además, estamos implantando sistemas que permiten rescatar clientes tradicionales y hacer seguimiento a los analistas  de ventas y compensar por resultados. La segunda vía de mejoras proviene de los contactos que hemos hecho con clientes potenciales que </w:t>
      </w:r>
      <w:r w:rsidR="00477A98" w:rsidRPr="003750F0">
        <w:rPr>
          <w:rFonts w:ascii="Calibri" w:hAnsi="Calibri"/>
        </w:rPr>
        <w:t xml:space="preserve">creemos que </w:t>
      </w:r>
      <w:r w:rsidR="00D30451">
        <w:rPr>
          <w:rFonts w:ascii="Calibri" w:hAnsi="Calibri"/>
        </w:rPr>
        <w:t>una vez contemos con la pagina web podrán aumentar</w:t>
      </w:r>
      <w:r w:rsidR="00383291">
        <w:rPr>
          <w:rFonts w:ascii="Calibri" w:hAnsi="Calibri"/>
        </w:rPr>
        <w:t xml:space="preserve"> sustancialmente. H</w:t>
      </w:r>
      <w:r w:rsidR="00D30451">
        <w:rPr>
          <w:rFonts w:ascii="Calibri" w:hAnsi="Calibri"/>
        </w:rPr>
        <w:t>emos sufrido los lentos procesos de reconquistar  la credibilidad en la Farmacia por parte de los proveedores y clientes</w:t>
      </w:r>
      <w:r w:rsidR="00383291">
        <w:rPr>
          <w:rFonts w:ascii="Calibri" w:hAnsi="Calibri"/>
        </w:rPr>
        <w:t xml:space="preserve"> tradicionales </w:t>
      </w:r>
      <w:r w:rsidR="00D30451">
        <w:rPr>
          <w:rFonts w:ascii="Calibri" w:hAnsi="Calibri"/>
        </w:rPr>
        <w:t>. Sin embargo, contamos con la determinación para superar obstáculos. L</w:t>
      </w:r>
      <w:r w:rsidR="00477A98" w:rsidRPr="003750F0">
        <w:rPr>
          <w:rFonts w:ascii="Calibri" w:hAnsi="Calibri"/>
        </w:rPr>
        <w:t xml:space="preserve">a Junta Directiva de nuestra compañía </w:t>
      </w:r>
      <w:r w:rsidR="00D30451">
        <w:rPr>
          <w:rFonts w:ascii="Calibri" w:hAnsi="Calibri"/>
        </w:rPr>
        <w:t xml:space="preserve">intervino directamente en la gerencia de Farmacia y </w:t>
      </w:r>
      <w:r w:rsidR="00477A98" w:rsidRPr="003750F0">
        <w:rPr>
          <w:rFonts w:ascii="Calibri" w:hAnsi="Calibri"/>
        </w:rPr>
        <w:t xml:space="preserve">estamos muy pendientes de hacer seguimiento a tan </w:t>
      </w:r>
      <w:r w:rsidR="007B545D">
        <w:rPr>
          <w:rFonts w:ascii="Calibri" w:hAnsi="Calibri"/>
        </w:rPr>
        <w:t>importante inversión</w:t>
      </w:r>
      <w:r w:rsidR="00477A98" w:rsidRPr="003750F0">
        <w:rPr>
          <w:rFonts w:ascii="Calibri" w:hAnsi="Calibri"/>
        </w:rPr>
        <w:t xml:space="preserve">. </w:t>
      </w:r>
    </w:p>
    <w:p w14:paraId="69779B4F" w14:textId="77777777" w:rsidR="00477A98" w:rsidRPr="003750F0" w:rsidRDefault="00477A98" w:rsidP="00477A98">
      <w:pPr>
        <w:spacing w:line="360" w:lineRule="auto"/>
        <w:rPr>
          <w:rFonts w:ascii="Calibri" w:hAnsi="Calibri"/>
        </w:rPr>
      </w:pPr>
      <w:r w:rsidRPr="003750F0">
        <w:rPr>
          <w:rFonts w:ascii="Calibri" w:hAnsi="Calibri"/>
        </w:rPr>
        <w:lastRenderedPageBreak/>
        <w:t xml:space="preserve"> </w:t>
      </w:r>
    </w:p>
    <w:p w14:paraId="2C8E059C" w14:textId="77777777" w:rsidR="00477A98" w:rsidRPr="003750F0" w:rsidRDefault="00477A98" w:rsidP="00477A98">
      <w:pPr>
        <w:spacing w:before="100" w:beforeAutospacing="1" w:line="360" w:lineRule="auto"/>
        <w:jc w:val="both"/>
        <w:rPr>
          <w:rFonts w:ascii="Calibri" w:hAnsi="Calibri" w:cs="Arial"/>
          <w:b/>
          <w:color w:val="222222"/>
          <w:shd w:val="clear" w:color="auto" w:fill="FFFFFF"/>
          <w:lang w:eastAsia="es-VE"/>
        </w:rPr>
      </w:pPr>
      <w:r w:rsidRPr="003750F0">
        <w:rPr>
          <w:rFonts w:ascii="Calibri" w:hAnsi="Calibri" w:cs="Arial"/>
          <w:b/>
          <w:color w:val="222222"/>
          <w:shd w:val="clear" w:color="auto" w:fill="FFFFFF"/>
          <w:lang w:eastAsia="es-VE"/>
        </w:rPr>
        <w:t xml:space="preserve"> II.-</w:t>
      </w:r>
      <w:r w:rsidRPr="003750F0">
        <w:rPr>
          <w:rFonts w:ascii="Calibri" w:hAnsi="Calibri" w:cs="Arial"/>
          <w:b/>
          <w:color w:val="222222"/>
          <w:shd w:val="clear" w:color="auto" w:fill="FFFFFF"/>
          <w:lang w:eastAsia="es-VE"/>
        </w:rPr>
        <w:tab/>
        <w:t>Situación Financiera</w:t>
      </w:r>
    </w:p>
    <w:p w14:paraId="5F79F854" w14:textId="1BD10EE4" w:rsidR="00477A98" w:rsidRPr="003750F0" w:rsidRDefault="00EA69EF" w:rsidP="00477A98">
      <w:pPr>
        <w:spacing w:before="100" w:beforeAutospacing="1" w:line="360" w:lineRule="auto"/>
        <w:jc w:val="both"/>
        <w:rPr>
          <w:rFonts w:ascii="Calibri" w:hAnsi="Calibri" w:cs="Arial"/>
          <w:color w:val="222222"/>
          <w:shd w:val="clear" w:color="auto" w:fill="FFFFFF"/>
          <w:lang w:eastAsia="es-VE"/>
        </w:rPr>
      </w:pPr>
      <w:r>
        <w:rPr>
          <w:rFonts w:ascii="Calibri" w:hAnsi="Calibri" w:cs="Arial"/>
          <w:color w:val="222222"/>
          <w:shd w:val="clear" w:color="auto" w:fill="FFFFFF"/>
          <w:lang w:eastAsia="es-VE"/>
        </w:rPr>
        <w:t xml:space="preserve">La </w:t>
      </w:r>
      <w:r w:rsidR="00477A98" w:rsidRPr="003750F0">
        <w:rPr>
          <w:rFonts w:ascii="Calibri" w:hAnsi="Calibri" w:cs="Arial"/>
          <w:color w:val="222222"/>
          <w:shd w:val="clear" w:color="auto" w:fill="FFFFFF"/>
          <w:lang w:eastAsia="es-VE"/>
        </w:rPr>
        <w:t xml:space="preserve"> situación financiera de nuestra empresa en los bal</w:t>
      </w:r>
      <w:r w:rsidR="00A17677">
        <w:rPr>
          <w:rFonts w:ascii="Calibri" w:hAnsi="Calibri" w:cs="Arial"/>
          <w:color w:val="222222"/>
          <w:shd w:val="clear" w:color="auto" w:fill="FFFFFF"/>
          <w:lang w:eastAsia="es-VE"/>
        </w:rPr>
        <w:t>ances auditados al 2014</w:t>
      </w:r>
      <w:r w:rsidR="00477A98">
        <w:rPr>
          <w:rFonts w:ascii="Calibri" w:hAnsi="Calibri" w:cs="Arial"/>
          <w:color w:val="222222"/>
          <w:shd w:val="clear" w:color="auto" w:fill="FFFFFF"/>
          <w:lang w:eastAsia="es-VE"/>
        </w:rPr>
        <w:t xml:space="preserve"> aparece</w:t>
      </w:r>
      <w:r w:rsidR="00477A98" w:rsidRPr="003750F0">
        <w:rPr>
          <w:rFonts w:ascii="Calibri" w:hAnsi="Calibri" w:cs="Arial"/>
          <w:color w:val="222222"/>
          <w:shd w:val="clear" w:color="auto" w:fill="FFFFFF"/>
          <w:lang w:eastAsia="es-VE"/>
        </w:rPr>
        <w:t xml:space="preserve"> con </w:t>
      </w:r>
      <w:r w:rsidR="00F83219">
        <w:rPr>
          <w:rFonts w:ascii="Calibri" w:hAnsi="Calibri" w:cs="Arial"/>
          <w:color w:val="222222"/>
          <w:shd w:val="clear" w:color="auto" w:fill="FFFFFF"/>
          <w:lang w:eastAsia="es-VE"/>
        </w:rPr>
        <w:t>utilidades para el año fiscal de Bs 22.731.064.  D</w:t>
      </w:r>
      <w:r w:rsidR="00477A98" w:rsidRPr="003750F0">
        <w:rPr>
          <w:rFonts w:ascii="Calibri" w:hAnsi="Calibri" w:cs="Arial"/>
          <w:color w:val="222222"/>
          <w:shd w:val="clear" w:color="auto" w:fill="FFFFFF"/>
          <w:lang w:eastAsia="es-VE"/>
        </w:rPr>
        <w:t>ebemos</w:t>
      </w:r>
      <w:r w:rsidR="00F83219">
        <w:rPr>
          <w:rFonts w:ascii="Calibri" w:hAnsi="Calibri" w:cs="Arial"/>
          <w:color w:val="222222"/>
          <w:shd w:val="clear" w:color="auto" w:fill="FFFFFF"/>
          <w:lang w:eastAsia="es-VE"/>
        </w:rPr>
        <w:t xml:space="preserve"> aclarar que son utilidades </w:t>
      </w:r>
      <w:r w:rsidR="00477A98" w:rsidRPr="003750F0">
        <w:rPr>
          <w:rFonts w:ascii="Calibri" w:hAnsi="Calibri" w:cs="Arial"/>
          <w:color w:val="222222"/>
          <w:shd w:val="clear" w:color="auto" w:fill="FFFFFF"/>
          <w:lang w:eastAsia="es-VE"/>
        </w:rPr>
        <w:t xml:space="preserve">que </w:t>
      </w:r>
      <w:r w:rsidR="00F83219">
        <w:rPr>
          <w:rFonts w:ascii="Calibri" w:hAnsi="Calibri" w:cs="Arial"/>
          <w:color w:val="222222"/>
          <w:shd w:val="clear" w:color="auto" w:fill="FFFFFF"/>
          <w:lang w:eastAsia="es-VE"/>
        </w:rPr>
        <w:t xml:space="preserve">en nuestra opinión </w:t>
      </w:r>
      <w:r w:rsidR="00477A98" w:rsidRPr="003750F0">
        <w:rPr>
          <w:rFonts w:ascii="Calibri" w:hAnsi="Calibri" w:cs="Arial"/>
          <w:color w:val="222222"/>
          <w:shd w:val="clear" w:color="auto" w:fill="FFFFFF"/>
          <w:lang w:eastAsia="es-VE"/>
        </w:rPr>
        <w:t>no reflejan la nueva realidad cambiaria que afecta positivamente a nuestra compañía</w:t>
      </w:r>
      <w:r w:rsidR="00F83219">
        <w:rPr>
          <w:rFonts w:ascii="Calibri" w:hAnsi="Calibri" w:cs="Arial"/>
          <w:color w:val="222222"/>
          <w:shd w:val="clear" w:color="auto" w:fill="FFFFFF"/>
          <w:lang w:eastAsia="es-VE"/>
        </w:rPr>
        <w:t xml:space="preserve"> con una tasa SIMADI que ronda por Bs 190 por USD, ya que los activos que poseemos en moneda extranjera fueron contabilizados a Bs. 50 (SICAD2)</w:t>
      </w:r>
      <w:r w:rsidR="00477A98" w:rsidRPr="003750F0">
        <w:rPr>
          <w:rFonts w:ascii="Calibri" w:hAnsi="Calibri" w:cs="Arial"/>
          <w:color w:val="222222"/>
          <w:shd w:val="clear" w:color="auto" w:fill="FFFFFF"/>
          <w:lang w:eastAsia="es-VE"/>
        </w:rPr>
        <w:t xml:space="preserve">. Nuestra Compañía mantiene como principal activo bonos de PDVSA. En este sentido, la posición de nuestra </w:t>
      </w:r>
      <w:r w:rsidR="00477A98" w:rsidRPr="00D22BE6">
        <w:rPr>
          <w:rFonts w:ascii="Calibri" w:hAnsi="Calibri" w:cs="Arial"/>
          <w:color w:val="222222"/>
          <w:shd w:val="clear" w:color="auto" w:fill="FFFFFF"/>
          <w:lang w:eastAsia="es-VE"/>
        </w:rPr>
        <w:t xml:space="preserve">Compañía </w:t>
      </w:r>
      <w:r w:rsidR="00477A98" w:rsidRPr="003750F0">
        <w:rPr>
          <w:rFonts w:ascii="Calibri" w:hAnsi="Calibri" w:cs="Arial"/>
          <w:color w:val="222222"/>
          <w:shd w:val="clear" w:color="auto" w:fill="FFFFFF"/>
          <w:lang w:eastAsia="es-VE"/>
        </w:rPr>
        <w:t>y los montos nominales de inversión en estos bono</w:t>
      </w:r>
      <w:r w:rsidR="00F83219">
        <w:rPr>
          <w:rFonts w:ascii="Calibri" w:hAnsi="Calibri" w:cs="Arial"/>
          <w:color w:val="222222"/>
          <w:shd w:val="clear" w:color="auto" w:fill="FFFFFF"/>
          <w:lang w:eastAsia="es-VE"/>
        </w:rPr>
        <w:t xml:space="preserve">s no ha variado para el año 2014 ni desde la fundación de </w:t>
      </w:r>
      <w:r w:rsidR="003F5FCC">
        <w:rPr>
          <w:rFonts w:ascii="Calibri" w:hAnsi="Calibri" w:cs="Arial"/>
          <w:color w:val="222222"/>
          <w:shd w:val="clear" w:color="auto" w:fill="FFFFFF"/>
          <w:lang w:eastAsia="es-VE"/>
        </w:rPr>
        <w:t>l</w:t>
      </w:r>
      <w:r w:rsidR="00F83219">
        <w:rPr>
          <w:rFonts w:ascii="Calibri" w:hAnsi="Calibri" w:cs="Arial"/>
          <w:color w:val="222222"/>
          <w:shd w:val="clear" w:color="auto" w:fill="FFFFFF"/>
          <w:lang w:eastAsia="es-VE"/>
        </w:rPr>
        <w:t>a empresa</w:t>
      </w:r>
      <w:r w:rsidR="00477A98" w:rsidRPr="003750F0">
        <w:rPr>
          <w:rFonts w:ascii="Calibri" w:hAnsi="Calibri" w:cs="Arial"/>
          <w:color w:val="222222"/>
          <w:shd w:val="clear" w:color="auto" w:fill="FFFFFF"/>
          <w:lang w:eastAsia="es-VE"/>
        </w:rPr>
        <w:t>. En este sentido al poseer un valor nominal de bonos de PDVSA de USD 1.250.000 como principal activo,</w:t>
      </w:r>
      <w:r w:rsidR="00F83219">
        <w:rPr>
          <w:rFonts w:ascii="Calibri" w:hAnsi="Calibri" w:cs="Arial"/>
          <w:color w:val="222222"/>
          <w:shd w:val="clear" w:color="auto" w:fill="FFFFFF"/>
          <w:lang w:eastAsia="es-VE"/>
        </w:rPr>
        <w:t xml:space="preserve"> nuestra compañía en el año 2015</w:t>
      </w:r>
      <w:r w:rsidR="00477A98" w:rsidRPr="003750F0">
        <w:rPr>
          <w:rFonts w:ascii="Calibri" w:hAnsi="Calibri" w:cs="Arial"/>
          <w:color w:val="222222"/>
          <w:shd w:val="clear" w:color="auto" w:fill="FFFFFF"/>
          <w:lang w:eastAsia="es-VE"/>
        </w:rPr>
        <w:t xml:space="preserve"> por sólo efecto de la n</w:t>
      </w:r>
      <w:r w:rsidR="00F83219">
        <w:rPr>
          <w:rFonts w:ascii="Calibri" w:hAnsi="Calibri" w:cs="Arial"/>
          <w:color w:val="222222"/>
          <w:shd w:val="clear" w:color="auto" w:fill="FFFFFF"/>
          <w:lang w:eastAsia="es-VE"/>
        </w:rPr>
        <w:t>ueva política cambiaria (SIMADI</w:t>
      </w:r>
      <w:r w:rsidR="00477A98" w:rsidRPr="003750F0">
        <w:rPr>
          <w:rFonts w:ascii="Calibri" w:hAnsi="Calibri" w:cs="Arial"/>
          <w:color w:val="222222"/>
          <w:shd w:val="clear" w:color="auto" w:fill="FFFFFF"/>
          <w:lang w:eastAsia="es-VE"/>
        </w:rPr>
        <w:t>) verá su patrimonio crecer por el monto que resulte al multiplicar el valor de nuestros bonos de PDVSA a valor de mercado</w:t>
      </w:r>
      <w:r w:rsidR="00F83219">
        <w:rPr>
          <w:rFonts w:ascii="Calibri" w:hAnsi="Calibri" w:cs="Arial"/>
          <w:color w:val="222222"/>
          <w:shd w:val="clear" w:color="auto" w:fill="FFFFFF"/>
          <w:lang w:eastAsia="es-VE"/>
        </w:rPr>
        <w:t xml:space="preserve"> del 28 /3/2015</w:t>
      </w:r>
      <w:r w:rsidR="00477A98">
        <w:rPr>
          <w:rFonts w:ascii="Calibri" w:hAnsi="Calibri" w:cs="Arial"/>
          <w:color w:val="222222"/>
          <w:shd w:val="clear" w:color="auto" w:fill="FFFFFF"/>
          <w:lang w:eastAsia="es-VE"/>
        </w:rPr>
        <w:t xml:space="preserve"> </w:t>
      </w:r>
      <w:r w:rsidR="00F83219">
        <w:rPr>
          <w:rFonts w:ascii="Calibri" w:hAnsi="Calibri" w:cs="Arial"/>
          <w:color w:val="222222"/>
          <w:shd w:val="clear" w:color="auto" w:fill="FFFFFF"/>
          <w:lang w:eastAsia="es-VE"/>
        </w:rPr>
        <w:t xml:space="preserve"> a Bs 190 por USD en lugar de Bs 50</w:t>
      </w:r>
      <w:r w:rsidR="00477A98" w:rsidRPr="003750F0">
        <w:rPr>
          <w:rFonts w:ascii="Calibri" w:hAnsi="Calibri" w:cs="Arial"/>
          <w:color w:val="222222"/>
          <w:shd w:val="clear" w:color="auto" w:fill="FFFFFF"/>
          <w:lang w:eastAsia="es-VE"/>
        </w:rPr>
        <w:t xml:space="preserve"> por USD (</w:t>
      </w:r>
      <w:proofErr w:type="spellStart"/>
      <w:r w:rsidR="00477A98" w:rsidRPr="003750F0">
        <w:rPr>
          <w:rFonts w:ascii="Calibri" w:hAnsi="Calibri" w:cs="Arial"/>
          <w:color w:val="222222"/>
          <w:shd w:val="clear" w:color="auto" w:fill="FFFFFF"/>
          <w:lang w:eastAsia="es-VE"/>
        </w:rPr>
        <w:t>Sicad</w:t>
      </w:r>
      <w:proofErr w:type="spellEnd"/>
      <w:r w:rsidR="00477A98" w:rsidRPr="003750F0">
        <w:rPr>
          <w:rFonts w:ascii="Calibri" w:hAnsi="Calibri" w:cs="Arial"/>
          <w:color w:val="222222"/>
          <w:shd w:val="clear" w:color="auto" w:fill="FFFFFF"/>
          <w:lang w:eastAsia="es-VE"/>
        </w:rPr>
        <w:t xml:space="preserve"> 2). Adicionalmente, </w:t>
      </w:r>
      <w:r w:rsidR="00477A98" w:rsidRPr="00357D65">
        <w:rPr>
          <w:rFonts w:ascii="Calibri" w:hAnsi="Calibri" w:cs="Arial"/>
          <w:color w:val="222222"/>
          <w:shd w:val="clear" w:color="auto" w:fill="FFFFFF"/>
          <w:lang w:eastAsia="es-VE"/>
        </w:rPr>
        <w:t xml:space="preserve">La Junta Directiva de la </w:t>
      </w:r>
      <w:r w:rsidR="00F4742E">
        <w:rPr>
          <w:rFonts w:ascii="Calibri" w:hAnsi="Calibri" w:cs="Arial"/>
          <w:color w:val="222222"/>
          <w:shd w:val="clear" w:color="auto" w:fill="FFFFFF"/>
          <w:lang w:eastAsia="es-VE"/>
        </w:rPr>
        <w:t xml:space="preserve">Compañía, desde la fundación,  con </w:t>
      </w:r>
      <w:r w:rsidR="00477A98">
        <w:rPr>
          <w:rFonts w:ascii="Calibri" w:hAnsi="Calibri" w:cs="Arial"/>
          <w:color w:val="222222"/>
          <w:shd w:val="clear" w:color="auto" w:fill="FFFFFF"/>
          <w:lang w:eastAsia="es-VE"/>
        </w:rPr>
        <w:t xml:space="preserve"> el mayor sacrificio por preservar el patrimonio de lo</w:t>
      </w:r>
      <w:r w:rsidR="003F5FCC">
        <w:rPr>
          <w:rFonts w:ascii="Calibri" w:hAnsi="Calibri" w:cs="Arial"/>
          <w:color w:val="222222"/>
          <w:shd w:val="clear" w:color="auto" w:fill="FFFFFF"/>
          <w:lang w:eastAsia="es-VE"/>
        </w:rPr>
        <w:t xml:space="preserve">s accionistas de la Compañía, sigue </w:t>
      </w:r>
      <w:r w:rsidR="00477A98">
        <w:rPr>
          <w:rFonts w:ascii="Calibri" w:hAnsi="Calibri" w:cs="Arial"/>
          <w:color w:val="222222"/>
          <w:shd w:val="clear" w:color="auto" w:fill="FFFFFF"/>
          <w:lang w:eastAsia="es-VE"/>
        </w:rPr>
        <w:t xml:space="preserve"> manteni</w:t>
      </w:r>
      <w:r w:rsidR="003F5FCC">
        <w:rPr>
          <w:rFonts w:ascii="Calibri" w:hAnsi="Calibri" w:cs="Arial"/>
          <w:color w:val="222222"/>
          <w:shd w:val="clear" w:color="auto" w:fill="FFFFFF"/>
          <w:lang w:eastAsia="es-VE"/>
        </w:rPr>
        <w:t>en</w:t>
      </w:r>
      <w:r w:rsidR="00477A98">
        <w:rPr>
          <w:rFonts w:ascii="Calibri" w:hAnsi="Calibri" w:cs="Arial"/>
          <w:color w:val="222222"/>
          <w:shd w:val="clear" w:color="auto" w:fill="FFFFFF"/>
          <w:lang w:eastAsia="es-VE"/>
        </w:rPr>
        <w:t xml:space="preserve">do la política de </w:t>
      </w:r>
      <w:r w:rsidR="00477A98" w:rsidRPr="00357D65">
        <w:rPr>
          <w:rFonts w:ascii="Calibri" w:hAnsi="Calibri" w:cs="Arial"/>
          <w:color w:val="222222"/>
          <w:shd w:val="clear" w:color="auto" w:fill="FFFFFF"/>
          <w:lang w:eastAsia="es-VE"/>
        </w:rPr>
        <w:t xml:space="preserve">trabajar con costos mínimos y como consecuencia </w:t>
      </w:r>
      <w:r w:rsidR="00477A98">
        <w:rPr>
          <w:rFonts w:ascii="Calibri" w:hAnsi="Calibri" w:cs="Arial"/>
          <w:color w:val="222222"/>
          <w:shd w:val="clear" w:color="auto" w:fill="FFFFFF"/>
          <w:lang w:eastAsia="es-VE"/>
        </w:rPr>
        <w:t xml:space="preserve">no  hemos querido cobrar dietas, </w:t>
      </w:r>
      <w:r w:rsidR="00477A98" w:rsidRPr="00357D65">
        <w:rPr>
          <w:rFonts w:ascii="Calibri" w:hAnsi="Calibri" w:cs="Arial"/>
          <w:color w:val="222222"/>
          <w:shd w:val="clear" w:color="auto" w:fill="FFFFFF"/>
          <w:lang w:eastAsia="es-VE"/>
        </w:rPr>
        <w:t xml:space="preserve">ni sueldos.  </w:t>
      </w:r>
    </w:p>
    <w:p w14:paraId="6538935E" w14:textId="77777777" w:rsidR="00477A98" w:rsidRPr="003750F0" w:rsidRDefault="00477A98" w:rsidP="00477A98">
      <w:pPr>
        <w:spacing w:before="100" w:beforeAutospacing="1" w:line="360" w:lineRule="auto"/>
        <w:jc w:val="both"/>
        <w:rPr>
          <w:rFonts w:ascii="Calibri" w:hAnsi="Calibri" w:cs="Arial"/>
          <w:b/>
          <w:color w:val="222222"/>
          <w:shd w:val="clear" w:color="auto" w:fill="FFFFFF"/>
          <w:lang w:eastAsia="es-VE"/>
        </w:rPr>
      </w:pPr>
      <w:r w:rsidRPr="003750F0">
        <w:rPr>
          <w:rFonts w:ascii="Calibri" w:hAnsi="Calibri" w:cs="Arial"/>
          <w:b/>
          <w:color w:val="222222"/>
          <w:shd w:val="clear" w:color="auto" w:fill="FFFFFF"/>
          <w:lang w:eastAsia="es-VE"/>
        </w:rPr>
        <w:t xml:space="preserve">III.- </w:t>
      </w:r>
      <w:r w:rsidRPr="003750F0">
        <w:rPr>
          <w:rFonts w:ascii="Calibri" w:hAnsi="Calibri" w:cs="Arial"/>
          <w:b/>
          <w:color w:val="222222"/>
          <w:shd w:val="clear" w:color="auto" w:fill="FFFFFF"/>
          <w:lang w:eastAsia="es-VE"/>
        </w:rPr>
        <w:tab/>
        <w:t xml:space="preserve">Superintendencia Nacional de Valores </w:t>
      </w:r>
    </w:p>
    <w:p w14:paraId="61369940" w14:textId="6BA5B327" w:rsidR="00477A98" w:rsidRPr="003750F0" w:rsidRDefault="00F4742E" w:rsidP="00F4742E">
      <w:pPr>
        <w:spacing w:before="100" w:beforeAutospacing="1" w:line="360" w:lineRule="auto"/>
        <w:jc w:val="both"/>
        <w:rPr>
          <w:rFonts w:ascii="Calibri" w:hAnsi="Calibri"/>
        </w:rPr>
      </w:pPr>
      <w:r>
        <w:rPr>
          <w:rFonts w:ascii="Calibri" w:hAnsi="Calibri" w:cs="Arial"/>
          <w:color w:val="222222"/>
          <w:shd w:val="clear" w:color="auto" w:fill="FFFFFF"/>
          <w:lang w:eastAsia="es-VE"/>
        </w:rPr>
        <w:t>Durante el año 2014</w:t>
      </w:r>
      <w:r w:rsidR="00477A98" w:rsidRPr="003750F0">
        <w:rPr>
          <w:rFonts w:ascii="Calibri" w:hAnsi="Calibri" w:cs="Arial"/>
          <w:color w:val="222222"/>
          <w:shd w:val="clear" w:color="auto" w:fill="FFFFFF"/>
          <w:lang w:eastAsia="es-VE"/>
        </w:rPr>
        <w:t xml:space="preserve">, la Superintendencia Nacional de Valores </w:t>
      </w:r>
      <w:r>
        <w:rPr>
          <w:rFonts w:ascii="Calibri" w:hAnsi="Calibri" w:cs="Arial"/>
          <w:color w:val="222222"/>
          <w:shd w:val="clear" w:color="auto" w:fill="FFFFFF"/>
          <w:lang w:eastAsia="es-VE"/>
        </w:rPr>
        <w:t xml:space="preserve">no ha terminado de aprobar las decisiones de dos Asambleas de Accionistas, una  del año 2010 y otra del año 2014.  </w:t>
      </w:r>
    </w:p>
    <w:p w14:paraId="06A20B30" w14:textId="3736942B" w:rsidR="00477A98" w:rsidRPr="003750F0" w:rsidRDefault="00477A98" w:rsidP="00477A98">
      <w:pPr>
        <w:spacing w:line="360" w:lineRule="auto"/>
        <w:jc w:val="both"/>
        <w:rPr>
          <w:rFonts w:ascii="Calibri" w:hAnsi="Calibri"/>
        </w:rPr>
      </w:pPr>
      <w:r w:rsidRPr="003750F0">
        <w:rPr>
          <w:rFonts w:ascii="Calibri" w:hAnsi="Calibri"/>
        </w:rPr>
        <w:t xml:space="preserve">Inversiones Crece Pymes, C.A. </w:t>
      </w:r>
      <w:r w:rsidR="00F4742E">
        <w:rPr>
          <w:rFonts w:ascii="Calibri" w:hAnsi="Calibri"/>
        </w:rPr>
        <w:t xml:space="preserve">en nuestra opinión ha tomado los correctivos planteados por la Superintendencia en el año 2013 y ha </w:t>
      </w:r>
      <w:r w:rsidRPr="003750F0">
        <w:rPr>
          <w:rFonts w:ascii="Calibri" w:hAnsi="Calibri"/>
        </w:rPr>
        <w:t>dado cumplimiento a la totalidad de los hitos solicitados por la Superintendencia Nacional de Valores.</w:t>
      </w:r>
    </w:p>
    <w:p w14:paraId="1193E93C" w14:textId="77777777" w:rsidR="00477A98" w:rsidRDefault="00477A98" w:rsidP="00477A98">
      <w:pPr>
        <w:spacing w:before="100" w:beforeAutospacing="1" w:line="360" w:lineRule="auto"/>
        <w:jc w:val="both"/>
        <w:rPr>
          <w:rFonts w:ascii="Calibri" w:hAnsi="Calibri" w:cs="Arial"/>
          <w:color w:val="222222"/>
          <w:shd w:val="clear" w:color="auto" w:fill="FFFFFF"/>
          <w:lang w:val="es-AR" w:eastAsia="es-VE"/>
        </w:rPr>
      </w:pPr>
    </w:p>
    <w:p w14:paraId="210961B2" w14:textId="77777777" w:rsidR="008C2315" w:rsidRDefault="008C2315" w:rsidP="00477A98">
      <w:pPr>
        <w:spacing w:before="100" w:beforeAutospacing="1" w:line="360" w:lineRule="auto"/>
        <w:jc w:val="both"/>
        <w:rPr>
          <w:rFonts w:ascii="Calibri" w:hAnsi="Calibri" w:cs="Arial"/>
          <w:color w:val="222222"/>
          <w:shd w:val="clear" w:color="auto" w:fill="FFFFFF"/>
          <w:lang w:val="es-AR" w:eastAsia="es-VE"/>
        </w:rPr>
      </w:pPr>
    </w:p>
    <w:p w14:paraId="7FF5B783" w14:textId="77777777" w:rsidR="008C2315" w:rsidRPr="003750F0" w:rsidRDefault="008C2315" w:rsidP="00477A98">
      <w:pPr>
        <w:spacing w:before="100" w:beforeAutospacing="1" w:line="360" w:lineRule="auto"/>
        <w:jc w:val="both"/>
        <w:rPr>
          <w:rFonts w:ascii="Calibri" w:hAnsi="Calibri" w:cs="Arial"/>
          <w:color w:val="222222"/>
          <w:shd w:val="clear" w:color="auto" w:fill="FFFFFF"/>
          <w:lang w:val="es-AR" w:eastAsia="es-VE"/>
        </w:rPr>
      </w:pPr>
    </w:p>
    <w:p w14:paraId="7267707F" w14:textId="77777777" w:rsidR="00477A98" w:rsidRPr="00E50D7D" w:rsidRDefault="00477A98" w:rsidP="00477A98">
      <w:pPr>
        <w:spacing w:line="360" w:lineRule="auto"/>
        <w:rPr>
          <w:rFonts w:ascii="Calibri" w:hAnsi="Calibri"/>
          <w:b/>
          <w:lang w:val="es-VE"/>
        </w:rPr>
      </w:pPr>
      <w:r w:rsidRPr="00E50D7D">
        <w:rPr>
          <w:rFonts w:ascii="Calibri" w:hAnsi="Calibri" w:cs="Arial"/>
          <w:b/>
          <w:color w:val="222222"/>
          <w:shd w:val="clear" w:color="auto" w:fill="FFFFFF"/>
          <w:lang w:val="es-AR" w:eastAsia="es-VE"/>
        </w:rPr>
        <w:t>IV.- Nuevos negocios y oportunidades hacia el futuro</w:t>
      </w:r>
    </w:p>
    <w:p w14:paraId="05539FD7" w14:textId="77777777" w:rsidR="00477A98" w:rsidRPr="003750F0" w:rsidRDefault="00477A98" w:rsidP="00477A98">
      <w:pPr>
        <w:spacing w:line="360" w:lineRule="auto"/>
        <w:rPr>
          <w:rFonts w:ascii="Calibri" w:hAnsi="Calibri"/>
          <w:lang w:val="es-VE"/>
        </w:rPr>
      </w:pPr>
    </w:p>
    <w:p w14:paraId="7427BD90" w14:textId="09152B4E" w:rsidR="00477A98" w:rsidRPr="003750F0" w:rsidRDefault="00477A98" w:rsidP="00477A98">
      <w:pPr>
        <w:spacing w:line="360" w:lineRule="auto"/>
        <w:rPr>
          <w:rFonts w:ascii="Calibri" w:hAnsi="Calibri"/>
          <w:lang w:val="es-VE"/>
        </w:rPr>
      </w:pPr>
      <w:r>
        <w:rPr>
          <w:rFonts w:ascii="Calibri" w:hAnsi="Calibri"/>
          <w:lang w:val="es-VE"/>
        </w:rPr>
        <w:t>El</w:t>
      </w:r>
      <w:r w:rsidRPr="003750F0">
        <w:rPr>
          <w:rFonts w:ascii="Calibri" w:hAnsi="Calibri"/>
          <w:lang w:val="es-VE"/>
        </w:rPr>
        <w:t xml:space="preserve"> Comité</w:t>
      </w:r>
      <w:r>
        <w:rPr>
          <w:rFonts w:ascii="Calibri" w:hAnsi="Calibri"/>
          <w:lang w:val="es-VE"/>
        </w:rPr>
        <w:t xml:space="preserve"> de Negocios </w:t>
      </w:r>
      <w:r w:rsidRPr="003750F0">
        <w:rPr>
          <w:rFonts w:ascii="Calibri" w:hAnsi="Calibri"/>
          <w:lang w:val="es-VE"/>
        </w:rPr>
        <w:t xml:space="preserve"> celebró durante este período reuniones semanales y presenta aquí un resumen de los asuntos tratados:</w:t>
      </w:r>
      <w:r w:rsidR="008C2315">
        <w:rPr>
          <w:rFonts w:ascii="Calibri" w:hAnsi="Calibri"/>
          <w:lang w:val="es-VE"/>
        </w:rPr>
        <w:t>. H</w:t>
      </w:r>
      <w:r w:rsidR="00F05EE2">
        <w:rPr>
          <w:rFonts w:ascii="Calibri" w:hAnsi="Calibri"/>
          <w:lang w:val="es-VE"/>
        </w:rPr>
        <w:t>emos firmado</w:t>
      </w:r>
      <w:r w:rsidR="008C2315">
        <w:rPr>
          <w:rFonts w:ascii="Calibri" w:hAnsi="Calibri"/>
          <w:lang w:val="es-VE"/>
        </w:rPr>
        <w:t xml:space="preserve"> Hojas de términos con los siguientes proyectos: </w:t>
      </w:r>
      <w:r w:rsidR="00F05EE2">
        <w:rPr>
          <w:rFonts w:ascii="Calibri" w:hAnsi="Calibri"/>
          <w:lang w:val="es-VE"/>
        </w:rPr>
        <w:t xml:space="preserve"> </w:t>
      </w:r>
    </w:p>
    <w:p w14:paraId="33A041F0" w14:textId="77777777" w:rsidR="00477A98" w:rsidRPr="003750F0" w:rsidRDefault="00477A98" w:rsidP="00477A98">
      <w:pPr>
        <w:spacing w:line="360" w:lineRule="auto"/>
        <w:rPr>
          <w:rFonts w:ascii="Calibri" w:hAnsi="Calibri"/>
          <w:lang w:val="es-VE"/>
        </w:rPr>
      </w:pPr>
    </w:p>
    <w:p w14:paraId="6F588571" w14:textId="77777777" w:rsidR="00F05EE2" w:rsidRPr="00154F84" w:rsidRDefault="00F05EE2" w:rsidP="00F05EE2">
      <w:pPr>
        <w:jc w:val="center"/>
        <w:rPr>
          <w:b/>
          <w:sz w:val="28"/>
        </w:rPr>
      </w:pPr>
      <w:r w:rsidRPr="00154F84">
        <w:rPr>
          <w:b/>
          <w:sz w:val="28"/>
        </w:rPr>
        <w:t>Informe del Comité de Negocios</w:t>
      </w:r>
      <w:r>
        <w:rPr>
          <w:b/>
          <w:sz w:val="28"/>
        </w:rPr>
        <w:t xml:space="preserve"> para la Asamblea del 16-04-2015</w:t>
      </w:r>
    </w:p>
    <w:p w14:paraId="32043BE9" w14:textId="77777777" w:rsidR="00F05EE2" w:rsidRDefault="00F05EE2" w:rsidP="00F05EE2"/>
    <w:p w14:paraId="677B16DC" w14:textId="3DE22D03" w:rsidR="00F05EE2" w:rsidRDefault="00F05EE2" w:rsidP="00F05EE2">
      <w:r w:rsidRPr="00E50D7D">
        <w:rPr>
          <w:b/>
          <w:sz w:val="28"/>
          <w:szCs w:val="28"/>
        </w:rPr>
        <w:t>Proyectos  firmados y en Ejecución</w:t>
      </w:r>
      <w:r>
        <w:t>:</w:t>
      </w:r>
    </w:p>
    <w:tbl>
      <w:tblPr>
        <w:tblStyle w:val="Tablaconcuadrcula"/>
        <w:tblW w:w="0" w:type="auto"/>
        <w:tblLook w:val="04A0" w:firstRow="1" w:lastRow="0" w:firstColumn="1" w:lastColumn="0" w:noHBand="0" w:noVBand="1"/>
      </w:tblPr>
      <w:tblGrid>
        <w:gridCol w:w="2049"/>
        <w:gridCol w:w="2807"/>
        <w:gridCol w:w="2355"/>
        <w:gridCol w:w="1509"/>
      </w:tblGrid>
      <w:tr w:rsidR="00F05EE2" w14:paraId="04304296" w14:textId="77777777" w:rsidTr="00F05EE2">
        <w:tc>
          <w:tcPr>
            <w:tcW w:w="3536" w:type="dxa"/>
          </w:tcPr>
          <w:p w14:paraId="7828DF1E" w14:textId="77777777" w:rsidR="00F05EE2" w:rsidRPr="00324583" w:rsidRDefault="00F05EE2" w:rsidP="00F05EE2">
            <w:pPr>
              <w:jc w:val="center"/>
              <w:rPr>
                <w:b/>
              </w:rPr>
            </w:pPr>
            <w:r>
              <w:rPr>
                <w:b/>
              </w:rPr>
              <w:t>Proyecto</w:t>
            </w:r>
          </w:p>
        </w:tc>
        <w:tc>
          <w:tcPr>
            <w:tcW w:w="5503" w:type="dxa"/>
          </w:tcPr>
          <w:p w14:paraId="53048300" w14:textId="77777777" w:rsidR="00F05EE2" w:rsidRDefault="00F05EE2" w:rsidP="00F05EE2">
            <w:pPr>
              <w:jc w:val="center"/>
            </w:pPr>
            <w:r w:rsidRPr="00130D6C">
              <w:rPr>
                <w:b/>
              </w:rPr>
              <w:t xml:space="preserve">Descripción </w:t>
            </w:r>
          </w:p>
        </w:tc>
        <w:tc>
          <w:tcPr>
            <w:tcW w:w="3543" w:type="dxa"/>
          </w:tcPr>
          <w:p w14:paraId="6F226FA3" w14:textId="77777777" w:rsidR="00F05EE2" w:rsidRPr="00324583" w:rsidRDefault="00F05EE2" w:rsidP="00F05EE2">
            <w:pPr>
              <w:jc w:val="center"/>
              <w:rPr>
                <w:b/>
              </w:rPr>
            </w:pPr>
            <w:r w:rsidRPr="00324583">
              <w:rPr>
                <w:b/>
              </w:rPr>
              <w:t>Acciones a definir</w:t>
            </w:r>
          </w:p>
        </w:tc>
        <w:tc>
          <w:tcPr>
            <w:tcW w:w="1562" w:type="dxa"/>
          </w:tcPr>
          <w:p w14:paraId="1721BBD9" w14:textId="77777777" w:rsidR="00F05EE2" w:rsidRDefault="00F05EE2" w:rsidP="00F05EE2">
            <w:pPr>
              <w:jc w:val="center"/>
            </w:pPr>
            <w:r w:rsidRPr="00130D6C">
              <w:rPr>
                <w:b/>
              </w:rPr>
              <w:t>Emisión</w:t>
            </w:r>
          </w:p>
        </w:tc>
      </w:tr>
      <w:tr w:rsidR="00F05EE2" w14:paraId="00C6CFD7" w14:textId="77777777" w:rsidTr="00F05EE2">
        <w:tc>
          <w:tcPr>
            <w:tcW w:w="3536" w:type="dxa"/>
          </w:tcPr>
          <w:p w14:paraId="4A77244C" w14:textId="77777777" w:rsidR="00F05EE2" w:rsidRDefault="00F05EE2" w:rsidP="00F05EE2">
            <w:pPr>
              <w:jc w:val="center"/>
            </w:pPr>
          </w:p>
          <w:p w14:paraId="57B84D1A" w14:textId="77777777" w:rsidR="00F05EE2" w:rsidRDefault="00F05EE2" w:rsidP="00F05EE2">
            <w:pPr>
              <w:jc w:val="center"/>
            </w:pPr>
          </w:p>
          <w:p w14:paraId="5472C1F3" w14:textId="77777777" w:rsidR="00F05EE2" w:rsidRDefault="00F05EE2" w:rsidP="00F05EE2">
            <w:pPr>
              <w:jc w:val="center"/>
            </w:pPr>
          </w:p>
          <w:p w14:paraId="51876982" w14:textId="77777777" w:rsidR="00F05EE2" w:rsidRDefault="00F05EE2" w:rsidP="00F05EE2">
            <w:pPr>
              <w:jc w:val="center"/>
            </w:pPr>
          </w:p>
          <w:p w14:paraId="52E77F16" w14:textId="77777777" w:rsidR="00F05EE2" w:rsidRDefault="00F05EE2" w:rsidP="00F05EE2">
            <w:pPr>
              <w:jc w:val="center"/>
            </w:pPr>
            <w:r>
              <w:t>Residencias El Refugio</w:t>
            </w:r>
          </w:p>
        </w:tc>
        <w:tc>
          <w:tcPr>
            <w:tcW w:w="5503" w:type="dxa"/>
          </w:tcPr>
          <w:p w14:paraId="16034730" w14:textId="77777777" w:rsidR="00F05EE2" w:rsidRPr="00F303EF" w:rsidRDefault="00F05EE2" w:rsidP="00F05EE2">
            <w:pPr>
              <w:jc w:val="both"/>
            </w:pPr>
            <w:r w:rsidRPr="00F303EF">
              <w:t>El proyecto cuenta con 58 apartamentos de 98 M2 que fueron diseñados pensando en las necesidades de la vida moderna, con una distribución funcional que integra la cocina con las áreas sociales, brindando espacios funcionales y confortables. “Residencias El Refugio”, es una excelente oportunidad de inversión en una privilegiada zona del Sureste de Caracas, un Conjunto Residencial que forma parte de una propiedad residencial de gran escala que va a ser desarrollada por etapas.</w:t>
            </w:r>
          </w:p>
          <w:p w14:paraId="16CEA7E6" w14:textId="77777777" w:rsidR="00F05EE2" w:rsidRDefault="00F05EE2" w:rsidP="00F05EE2"/>
        </w:tc>
        <w:tc>
          <w:tcPr>
            <w:tcW w:w="3543" w:type="dxa"/>
          </w:tcPr>
          <w:p w14:paraId="110BE385" w14:textId="77777777" w:rsidR="00F05EE2" w:rsidRDefault="00F05EE2" w:rsidP="00F05EE2">
            <w:pPr>
              <w:pStyle w:val="Prrafodelista"/>
              <w:numPr>
                <w:ilvl w:val="0"/>
                <w:numId w:val="4"/>
              </w:numPr>
              <w:spacing w:after="0" w:line="240" w:lineRule="auto"/>
              <w:jc w:val="both"/>
            </w:pPr>
            <w:r>
              <w:t>Esperando informe escrito del Due Diligencie Legal</w:t>
            </w:r>
          </w:p>
          <w:p w14:paraId="10242B4D" w14:textId="77777777" w:rsidR="00F05EE2" w:rsidRDefault="00F05EE2" w:rsidP="00F05EE2">
            <w:pPr>
              <w:pStyle w:val="Prrafodelista"/>
              <w:numPr>
                <w:ilvl w:val="0"/>
                <w:numId w:val="4"/>
              </w:numPr>
              <w:spacing w:after="0" w:line="240" w:lineRule="auto"/>
              <w:jc w:val="both"/>
            </w:pPr>
            <w:r>
              <w:t>Realizar Due Diligencie técnico.</w:t>
            </w:r>
          </w:p>
          <w:p w14:paraId="569DF579" w14:textId="77777777" w:rsidR="00F05EE2" w:rsidRDefault="00F05EE2" w:rsidP="00F05EE2">
            <w:pPr>
              <w:pStyle w:val="Prrafodelista"/>
              <w:numPr>
                <w:ilvl w:val="0"/>
                <w:numId w:val="4"/>
              </w:numPr>
              <w:spacing w:after="0" w:line="240" w:lineRule="auto"/>
              <w:jc w:val="both"/>
            </w:pPr>
            <w:r>
              <w:t>Hoja nueva de emisión.</w:t>
            </w:r>
          </w:p>
          <w:p w14:paraId="04DF0E42" w14:textId="77777777" w:rsidR="00F05EE2" w:rsidRDefault="00F05EE2" w:rsidP="00F05EE2">
            <w:pPr>
              <w:pStyle w:val="Prrafodelista"/>
              <w:numPr>
                <w:ilvl w:val="0"/>
                <w:numId w:val="4"/>
              </w:numPr>
              <w:spacing w:after="0" w:line="240" w:lineRule="auto"/>
              <w:jc w:val="both"/>
            </w:pPr>
            <w:r>
              <w:t>Teaser, presentación y hoja de emisión, listos para publicar.</w:t>
            </w:r>
          </w:p>
          <w:p w14:paraId="7C32B1A5" w14:textId="77777777" w:rsidR="00F05EE2" w:rsidRDefault="00F05EE2" w:rsidP="00F05EE2">
            <w:pPr>
              <w:pStyle w:val="Prrafodelista"/>
              <w:numPr>
                <w:ilvl w:val="0"/>
                <w:numId w:val="4"/>
              </w:numPr>
              <w:spacing w:after="0" w:line="240" w:lineRule="auto"/>
              <w:jc w:val="both"/>
            </w:pPr>
            <w:r>
              <w:t>Revisar Prospecto.</w:t>
            </w:r>
          </w:p>
          <w:p w14:paraId="20683223" w14:textId="77777777" w:rsidR="00F05EE2" w:rsidRDefault="00F05EE2" w:rsidP="00F05EE2">
            <w:pPr>
              <w:pStyle w:val="Prrafodelista"/>
              <w:numPr>
                <w:ilvl w:val="0"/>
                <w:numId w:val="4"/>
              </w:numPr>
              <w:spacing w:after="0" w:line="240" w:lineRule="auto"/>
              <w:jc w:val="both"/>
            </w:pPr>
            <w:r>
              <w:t xml:space="preserve">Constitución de empresa nueva. </w:t>
            </w:r>
          </w:p>
          <w:p w14:paraId="3FD60592" w14:textId="010F2A9B" w:rsidR="00F05EE2" w:rsidRDefault="00F05EE2" w:rsidP="00F05EE2">
            <w:pPr>
              <w:pStyle w:val="Prrafodelista"/>
              <w:numPr>
                <w:ilvl w:val="0"/>
                <w:numId w:val="4"/>
              </w:numPr>
              <w:spacing w:after="0" w:line="240" w:lineRule="auto"/>
              <w:jc w:val="both"/>
            </w:pPr>
            <w:r>
              <w:t xml:space="preserve">Concretando acuerdo con Casas de Bolsa.  </w:t>
            </w:r>
          </w:p>
        </w:tc>
        <w:tc>
          <w:tcPr>
            <w:tcW w:w="1562" w:type="dxa"/>
          </w:tcPr>
          <w:p w14:paraId="10A08AFB" w14:textId="77777777" w:rsidR="00F05EE2" w:rsidRDefault="00F05EE2" w:rsidP="00F05EE2"/>
          <w:p w14:paraId="7A0089F5" w14:textId="77777777" w:rsidR="00F05EE2" w:rsidRDefault="00F05EE2" w:rsidP="00F05EE2"/>
          <w:p w14:paraId="01B986DA" w14:textId="77777777" w:rsidR="00F05EE2" w:rsidRDefault="00F05EE2" w:rsidP="00F05EE2"/>
          <w:p w14:paraId="4576FCA3" w14:textId="77777777" w:rsidR="00F05EE2" w:rsidRDefault="00F05EE2" w:rsidP="00F05EE2">
            <w:pPr>
              <w:jc w:val="center"/>
            </w:pPr>
            <w:r>
              <w:t>Bs. 1.900.000.000</w:t>
            </w:r>
          </w:p>
        </w:tc>
      </w:tr>
    </w:tbl>
    <w:p w14:paraId="66200E52" w14:textId="77777777" w:rsidR="00F05EE2" w:rsidRDefault="00F05EE2" w:rsidP="00F05EE2"/>
    <w:p w14:paraId="2687E010" w14:textId="77777777" w:rsidR="00F05EE2" w:rsidRDefault="00F05EE2" w:rsidP="00F05EE2"/>
    <w:p w14:paraId="45AB8461" w14:textId="77777777" w:rsidR="00F05EE2" w:rsidRDefault="00F05EE2" w:rsidP="00F05EE2"/>
    <w:p w14:paraId="60024A6A" w14:textId="77777777" w:rsidR="00F05EE2" w:rsidRDefault="00F05EE2" w:rsidP="00F05EE2">
      <w:r>
        <w:t xml:space="preserve">Proyectos en Análisis: </w:t>
      </w:r>
    </w:p>
    <w:tbl>
      <w:tblPr>
        <w:tblStyle w:val="Tablaconcuadrcula"/>
        <w:tblW w:w="0" w:type="auto"/>
        <w:tblLook w:val="04A0" w:firstRow="1" w:lastRow="0" w:firstColumn="1" w:lastColumn="0" w:noHBand="0" w:noVBand="1"/>
      </w:tblPr>
      <w:tblGrid>
        <w:gridCol w:w="1972"/>
        <w:gridCol w:w="3001"/>
        <w:gridCol w:w="2241"/>
        <w:gridCol w:w="1506"/>
      </w:tblGrid>
      <w:tr w:rsidR="00F05EE2" w14:paraId="6F8F22D5" w14:textId="77777777" w:rsidTr="00F05EE2">
        <w:tc>
          <w:tcPr>
            <w:tcW w:w="3536" w:type="dxa"/>
          </w:tcPr>
          <w:p w14:paraId="52EDA1CB" w14:textId="77777777" w:rsidR="00F05EE2" w:rsidRPr="00324583" w:rsidRDefault="00F05EE2" w:rsidP="00F05EE2">
            <w:pPr>
              <w:jc w:val="center"/>
              <w:rPr>
                <w:b/>
              </w:rPr>
            </w:pPr>
            <w:r>
              <w:rPr>
                <w:b/>
              </w:rPr>
              <w:t>Proyecto</w:t>
            </w:r>
          </w:p>
        </w:tc>
        <w:tc>
          <w:tcPr>
            <w:tcW w:w="5503" w:type="dxa"/>
          </w:tcPr>
          <w:p w14:paraId="0164C80F" w14:textId="77777777" w:rsidR="00F05EE2" w:rsidRDefault="00F05EE2" w:rsidP="00F05EE2">
            <w:pPr>
              <w:jc w:val="center"/>
            </w:pPr>
            <w:r w:rsidRPr="00130D6C">
              <w:rPr>
                <w:b/>
              </w:rPr>
              <w:t xml:space="preserve">Descripción </w:t>
            </w:r>
          </w:p>
        </w:tc>
        <w:tc>
          <w:tcPr>
            <w:tcW w:w="3543" w:type="dxa"/>
          </w:tcPr>
          <w:p w14:paraId="125B9CBA" w14:textId="77777777" w:rsidR="00F05EE2" w:rsidRPr="00324583" w:rsidRDefault="00F05EE2" w:rsidP="00F05EE2">
            <w:pPr>
              <w:jc w:val="center"/>
              <w:rPr>
                <w:b/>
              </w:rPr>
            </w:pPr>
            <w:r w:rsidRPr="00324583">
              <w:rPr>
                <w:b/>
              </w:rPr>
              <w:t>Acciones a definir</w:t>
            </w:r>
          </w:p>
        </w:tc>
        <w:tc>
          <w:tcPr>
            <w:tcW w:w="1562" w:type="dxa"/>
          </w:tcPr>
          <w:p w14:paraId="5F9844AA" w14:textId="77777777" w:rsidR="00F05EE2" w:rsidRDefault="00F05EE2" w:rsidP="00F05EE2">
            <w:pPr>
              <w:jc w:val="center"/>
            </w:pPr>
            <w:r w:rsidRPr="00130D6C">
              <w:rPr>
                <w:b/>
              </w:rPr>
              <w:t>Emisión</w:t>
            </w:r>
          </w:p>
        </w:tc>
      </w:tr>
      <w:tr w:rsidR="00F05EE2" w14:paraId="22781780" w14:textId="77777777" w:rsidTr="00F05EE2">
        <w:tc>
          <w:tcPr>
            <w:tcW w:w="3536" w:type="dxa"/>
          </w:tcPr>
          <w:p w14:paraId="61382B48" w14:textId="77777777" w:rsidR="00F05EE2" w:rsidRDefault="00F05EE2" w:rsidP="00F05EE2">
            <w:pPr>
              <w:jc w:val="center"/>
            </w:pPr>
          </w:p>
          <w:p w14:paraId="42E14432" w14:textId="77777777" w:rsidR="00F05EE2" w:rsidRDefault="00F05EE2" w:rsidP="00F05EE2">
            <w:pPr>
              <w:jc w:val="center"/>
            </w:pPr>
          </w:p>
          <w:p w14:paraId="5702003D" w14:textId="77777777" w:rsidR="00F05EE2" w:rsidRDefault="00F05EE2" w:rsidP="00F05EE2">
            <w:pPr>
              <w:jc w:val="center"/>
            </w:pPr>
          </w:p>
          <w:p w14:paraId="02D00858" w14:textId="6536291E" w:rsidR="00F05EE2" w:rsidRDefault="00E50D7D" w:rsidP="00F05EE2">
            <w:pPr>
              <w:jc w:val="center"/>
            </w:pPr>
            <w:r>
              <w:t xml:space="preserve">Proveedora de insumos de </w:t>
            </w:r>
            <w:proofErr w:type="spellStart"/>
            <w:r>
              <w:t>contrucción</w:t>
            </w:r>
            <w:proofErr w:type="spellEnd"/>
            <w:r>
              <w:t xml:space="preserve"> </w:t>
            </w:r>
          </w:p>
        </w:tc>
        <w:tc>
          <w:tcPr>
            <w:tcW w:w="5503" w:type="dxa"/>
          </w:tcPr>
          <w:p w14:paraId="01DCC5D4" w14:textId="77777777" w:rsidR="00F05EE2" w:rsidRDefault="00F05EE2" w:rsidP="00F05EE2">
            <w:pPr>
              <w:jc w:val="both"/>
            </w:pPr>
            <w:r w:rsidRPr="009A62FC">
              <w:t xml:space="preserve">La </w:t>
            </w:r>
            <w:r>
              <w:t xml:space="preserve">Empresa </w:t>
            </w:r>
            <w:r w:rsidRPr="009A62FC">
              <w:t xml:space="preserve">se especializa en la comercialización de productos de hierro y acero, utilizados como insumos tanto en la industria de la construcción como en la industria metalmecánica. Las operaciones se concentran fundamentalmente en la región donde la empresa tiene su sede ubicada en Charallave y su centro de almacenamiento y de </w:t>
            </w:r>
            <w:r w:rsidRPr="009A62FC">
              <w:lastRenderedPageBreak/>
              <w:t xml:space="preserve">ventas. </w:t>
            </w:r>
          </w:p>
        </w:tc>
        <w:tc>
          <w:tcPr>
            <w:tcW w:w="3543" w:type="dxa"/>
          </w:tcPr>
          <w:p w14:paraId="0D9E0FCB" w14:textId="77777777" w:rsidR="00F05EE2" w:rsidRDefault="00F05EE2" w:rsidP="00F05EE2">
            <w:pPr>
              <w:pStyle w:val="Prrafodelista"/>
              <w:numPr>
                <w:ilvl w:val="0"/>
                <w:numId w:val="8"/>
              </w:numPr>
              <w:spacing w:after="0" w:line="240" w:lineRule="auto"/>
            </w:pPr>
            <w:r>
              <w:lastRenderedPageBreak/>
              <w:t>Según los auditores las utilidades son menores a las presentadas, esperando nuevo flujo de caja.</w:t>
            </w:r>
          </w:p>
          <w:p w14:paraId="2C8C76CB" w14:textId="77777777" w:rsidR="00F05EE2" w:rsidRDefault="00F05EE2" w:rsidP="00F05EE2">
            <w:pPr>
              <w:pStyle w:val="Prrafodelista"/>
              <w:numPr>
                <w:ilvl w:val="0"/>
                <w:numId w:val="8"/>
              </w:numPr>
              <w:spacing w:after="0" w:line="240" w:lineRule="auto"/>
            </w:pPr>
            <w:r>
              <w:t xml:space="preserve"> Esperando Informe definitivo  de los Auditores e informe de </w:t>
            </w:r>
            <w:r>
              <w:lastRenderedPageBreak/>
              <w:t>diferencias en flujo de caja.</w:t>
            </w:r>
          </w:p>
          <w:p w14:paraId="03D08496" w14:textId="35B4613F" w:rsidR="00E50D7D" w:rsidRDefault="008C2315" w:rsidP="00F05EE2">
            <w:pPr>
              <w:pStyle w:val="Prrafodelista"/>
              <w:numPr>
                <w:ilvl w:val="0"/>
                <w:numId w:val="8"/>
              </w:numPr>
              <w:spacing w:after="0" w:line="240" w:lineRule="auto"/>
            </w:pPr>
            <w:r>
              <w:t>Negociando nuev</w:t>
            </w:r>
            <w:r w:rsidR="00E50D7D">
              <w:t>o</w:t>
            </w:r>
            <w:r>
              <w:t>s</w:t>
            </w:r>
            <w:r w:rsidR="00E50D7D">
              <w:t xml:space="preserve"> terminos con accionistas</w:t>
            </w:r>
          </w:p>
        </w:tc>
        <w:tc>
          <w:tcPr>
            <w:tcW w:w="1562" w:type="dxa"/>
          </w:tcPr>
          <w:p w14:paraId="717B0FED" w14:textId="77777777" w:rsidR="00F05EE2" w:rsidRDefault="00F05EE2" w:rsidP="00F05EE2">
            <w:pPr>
              <w:jc w:val="center"/>
              <w:rPr>
                <w:b/>
              </w:rPr>
            </w:pPr>
          </w:p>
          <w:p w14:paraId="191EEFE7" w14:textId="77777777" w:rsidR="00F05EE2" w:rsidRDefault="00F05EE2" w:rsidP="00F05EE2">
            <w:pPr>
              <w:jc w:val="center"/>
            </w:pPr>
          </w:p>
          <w:p w14:paraId="52E63B79" w14:textId="77777777" w:rsidR="00F05EE2" w:rsidRPr="00083C7B" w:rsidRDefault="00F05EE2" w:rsidP="00F05EE2">
            <w:pPr>
              <w:jc w:val="center"/>
            </w:pPr>
            <w:r w:rsidRPr="00083C7B">
              <w:t>Bs.</w:t>
            </w:r>
          </w:p>
          <w:p w14:paraId="65846087" w14:textId="77777777" w:rsidR="00F05EE2" w:rsidRPr="00130D6C" w:rsidRDefault="00F05EE2" w:rsidP="00F05EE2">
            <w:pPr>
              <w:jc w:val="center"/>
              <w:rPr>
                <w:b/>
              </w:rPr>
            </w:pPr>
            <w:r w:rsidRPr="00083C7B">
              <w:t>1.250.000.000</w:t>
            </w:r>
          </w:p>
        </w:tc>
      </w:tr>
      <w:tr w:rsidR="00F05EE2" w14:paraId="562ADEFA" w14:textId="77777777" w:rsidTr="00F05EE2">
        <w:tc>
          <w:tcPr>
            <w:tcW w:w="3536" w:type="dxa"/>
          </w:tcPr>
          <w:p w14:paraId="742A5806" w14:textId="77777777" w:rsidR="00F05EE2" w:rsidRDefault="00F05EE2" w:rsidP="00F05EE2">
            <w:pPr>
              <w:jc w:val="center"/>
            </w:pPr>
          </w:p>
          <w:p w14:paraId="177FC5CF" w14:textId="77777777" w:rsidR="00F05EE2" w:rsidRDefault="00F05EE2" w:rsidP="00F05EE2">
            <w:pPr>
              <w:jc w:val="center"/>
            </w:pPr>
          </w:p>
          <w:p w14:paraId="1BD451C5" w14:textId="77777777" w:rsidR="00F05EE2" w:rsidRDefault="00F05EE2" w:rsidP="00F05EE2">
            <w:pPr>
              <w:jc w:val="center"/>
            </w:pPr>
          </w:p>
          <w:p w14:paraId="3B51B58E" w14:textId="77777777" w:rsidR="00F05EE2" w:rsidRDefault="00F05EE2" w:rsidP="00F05EE2">
            <w:pPr>
              <w:jc w:val="center"/>
            </w:pPr>
          </w:p>
          <w:p w14:paraId="48AECAE6" w14:textId="1037177B" w:rsidR="00F05EE2" w:rsidRDefault="00E50D7D" w:rsidP="00F05EE2">
            <w:pPr>
              <w:jc w:val="center"/>
              <w:rPr>
                <w:b/>
              </w:rPr>
            </w:pPr>
            <w:r>
              <w:t>Turismo</w:t>
            </w:r>
          </w:p>
        </w:tc>
        <w:tc>
          <w:tcPr>
            <w:tcW w:w="5503" w:type="dxa"/>
          </w:tcPr>
          <w:p w14:paraId="74AAA9E0" w14:textId="77777777" w:rsidR="00F05EE2" w:rsidRPr="009A62FC" w:rsidRDefault="00F05EE2" w:rsidP="00F05EE2">
            <w:pPr>
              <w:jc w:val="both"/>
            </w:pPr>
            <w:r w:rsidRPr="009A62FC">
              <w:t>La Empresa es un operador turístico innovador en Venezuela con más de 15 años de experiencia en el mercado, ofrece servicios integrales de viaje para turistas, tanto en el territorio nacional como en el extranjero. Su sede principal se encuentra en Ciudad Bolívar y posee siete sitios de hospedaje en diversas ubicaciones, además de contar con excelentes relaciones con otros proveedores de turismo y</w:t>
            </w:r>
            <w:r>
              <w:t xml:space="preserve"> agencias de viaje.</w:t>
            </w:r>
          </w:p>
          <w:p w14:paraId="5243EBC9" w14:textId="77777777" w:rsidR="00F05EE2" w:rsidRPr="009A62FC" w:rsidRDefault="00F05EE2" w:rsidP="00F05EE2">
            <w:pPr>
              <w:jc w:val="center"/>
            </w:pPr>
          </w:p>
        </w:tc>
        <w:tc>
          <w:tcPr>
            <w:tcW w:w="3543" w:type="dxa"/>
          </w:tcPr>
          <w:p w14:paraId="12B97023" w14:textId="1771CDB5" w:rsidR="00F05EE2" w:rsidRDefault="00E50D7D" w:rsidP="00F05EE2">
            <w:pPr>
              <w:pStyle w:val="Prrafodelista"/>
              <w:numPr>
                <w:ilvl w:val="0"/>
                <w:numId w:val="5"/>
              </w:numPr>
              <w:spacing w:after="0" w:line="240" w:lineRule="auto"/>
            </w:pPr>
            <w:r>
              <w:t xml:space="preserve">Reconstruir estados financieros </w:t>
            </w:r>
            <w:r w:rsidR="00F05EE2">
              <w:t>.</w:t>
            </w:r>
          </w:p>
          <w:p w14:paraId="6F0FBAB1" w14:textId="144FBA59" w:rsidR="00F05EE2" w:rsidRPr="00154F84" w:rsidRDefault="008C2315" w:rsidP="00F05EE2">
            <w:pPr>
              <w:pStyle w:val="Prrafodelista"/>
              <w:numPr>
                <w:ilvl w:val="0"/>
                <w:numId w:val="5"/>
              </w:numPr>
              <w:spacing w:after="0" w:line="240" w:lineRule="auto"/>
            </w:pPr>
            <w:r>
              <w:t>Renegociar terminos</w:t>
            </w:r>
          </w:p>
        </w:tc>
        <w:tc>
          <w:tcPr>
            <w:tcW w:w="1562" w:type="dxa"/>
          </w:tcPr>
          <w:p w14:paraId="4979F92F" w14:textId="77777777" w:rsidR="00F05EE2" w:rsidRDefault="00F05EE2" w:rsidP="00F05EE2">
            <w:pPr>
              <w:jc w:val="center"/>
              <w:rPr>
                <w:b/>
              </w:rPr>
            </w:pPr>
          </w:p>
          <w:p w14:paraId="675954AB" w14:textId="77777777" w:rsidR="00F05EE2" w:rsidRDefault="00F05EE2" w:rsidP="00F05EE2">
            <w:pPr>
              <w:jc w:val="center"/>
              <w:rPr>
                <w:b/>
              </w:rPr>
            </w:pPr>
          </w:p>
          <w:p w14:paraId="691200BB" w14:textId="77777777" w:rsidR="00F05EE2" w:rsidRPr="00083C7B" w:rsidRDefault="00F05EE2" w:rsidP="00F05EE2">
            <w:pPr>
              <w:jc w:val="center"/>
            </w:pPr>
            <w:r w:rsidRPr="00083C7B">
              <w:t>Bs.</w:t>
            </w:r>
          </w:p>
          <w:p w14:paraId="72B2F340" w14:textId="77777777" w:rsidR="00F05EE2" w:rsidRPr="00130D6C" w:rsidRDefault="00F05EE2" w:rsidP="00F05EE2">
            <w:pPr>
              <w:jc w:val="center"/>
              <w:rPr>
                <w:b/>
              </w:rPr>
            </w:pPr>
            <w:r w:rsidRPr="00083C7B">
              <w:t>1.000.000.000</w:t>
            </w:r>
          </w:p>
        </w:tc>
      </w:tr>
      <w:tr w:rsidR="00F05EE2" w14:paraId="405FAC7C" w14:textId="77777777" w:rsidTr="00F05EE2">
        <w:trPr>
          <w:trHeight w:val="70"/>
        </w:trPr>
        <w:tc>
          <w:tcPr>
            <w:tcW w:w="3536" w:type="dxa"/>
          </w:tcPr>
          <w:p w14:paraId="45B8F90F" w14:textId="77777777" w:rsidR="00F05EE2" w:rsidRDefault="00F05EE2" w:rsidP="00F05EE2">
            <w:pPr>
              <w:jc w:val="center"/>
            </w:pPr>
            <w:r>
              <w:t>Hotel</w:t>
            </w:r>
          </w:p>
          <w:p w14:paraId="64377EED" w14:textId="16FCCF4E" w:rsidR="00F05EE2" w:rsidRDefault="00E50D7D" w:rsidP="00F05EE2">
            <w:pPr>
              <w:jc w:val="center"/>
            </w:pPr>
            <w:r>
              <w:t xml:space="preserve">En </w:t>
            </w:r>
            <w:proofErr w:type="spellStart"/>
            <w:r>
              <w:t>Ccs</w:t>
            </w:r>
            <w:proofErr w:type="spellEnd"/>
          </w:p>
          <w:p w14:paraId="400D3911" w14:textId="77777777" w:rsidR="00F05EE2" w:rsidRDefault="00F05EE2" w:rsidP="00F05EE2">
            <w:pPr>
              <w:jc w:val="center"/>
            </w:pPr>
          </w:p>
        </w:tc>
        <w:tc>
          <w:tcPr>
            <w:tcW w:w="5503" w:type="dxa"/>
          </w:tcPr>
          <w:p w14:paraId="56531B63" w14:textId="7BA9922A" w:rsidR="00F05EE2" w:rsidRDefault="00F05EE2" w:rsidP="00E50D7D">
            <w:pPr>
              <w:jc w:val="both"/>
            </w:pPr>
            <w:r>
              <w:t>Es un Hotel</w:t>
            </w:r>
            <w:r w:rsidRPr="009A62FC">
              <w:t xml:space="preserve"> construid</w:t>
            </w:r>
            <w:r>
              <w:t xml:space="preserve">o en </w:t>
            </w:r>
            <w:r w:rsidRPr="009A62FC">
              <w:t xml:space="preserve">el año 2000, sobre una parcela de 2.000 mts2, la cual está ubicada. </w:t>
            </w:r>
            <w:r>
              <w:t>D</w:t>
            </w:r>
            <w:r w:rsidRPr="00083C7B">
              <w:t>ispone de 45 Suites totalmente equipadas</w:t>
            </w:r>
          </w:p>
        </w:tc>
        <w:tc>
          <w:tcPr>
            <w:tcW w:w="3543" w:type="dxa"/>
          </w:tcPr>
          <w:p w14:paraId="4D4E997A" w14:textId="77777777" w:rsidR="00F05EE2" w:rsidRDefault="00F05EE2" w:rsidP="00F05EE2">
            <w:pPr>
              <w:pStyle w:val="Prrafodelista"/>
              <w:numPr>
                <w:ilvl w:val="0"/>
                <w:numId w:val="6"/>
              </w:numPr>
              <w:spacing w:after="0" w:line="240" w:lineRule="auto"/>
            </w:pPr>
            <w:r>
              <w:t xml:space="preserve">Se firmó la hoja de términos. </w:t>
            </w:r>
          </w:p>
          <w:p w14:paraId="5B62C877" w14:textId="4947F8DF" w:rsidR="00F05EE2" w:rsidRPr="00083C7B" w:rsidRDefault="00F05EE2" w:rsidP="008C2315">
            <w:pPr>
              <w:pStyle w:val="Prrafodelista"/>
              <w:numPr>
                <w:ilvl w:val="0"/>
                <w:numId w:val="6"/>
              </w:numPr>
              <w:spacing w:after="0" w:line="240" w:lineRule="auto"/>
            </w:pPr>
            <w:r>
              <w:t>Buscando alternativ</w:t>
            </w:r>
            <w:r w:rsidR="008C2315">
              <w:t>as para subida del dólar</w:t>
            </w:r>
            <w:r>
              <w:t>.</w:t>
            </w:r>
          </w:p>
        </w:tc>
        <w:tc>
          <w:tcPr>
            <w:tcW w:w="1562" w:type="dxa"/>
          </w:tcPr>
          <w:p w14:paraId="77B173B0" w14:textId="77777777" w:rsidR="00F05EE2" w:rsidRDefault="00F05EE2" w:rsidP="00F05EE2">
            <w:pPr>
              <w:jc w:val="center"/>
              <w:rPr>
                <w:b/>
              </w:rPr>
            </w:pPr>
          </w:p>
          <w:p w14:paraId="6DB02DCE" w14:textId="77777777" w:rsidR="00F05EE2" w:rsidRPr="00083C7B" w:rsidRDefault="00F05EE2" w:rsidP="00F05EE2">
            <w:pPr>
              <w:jc w:val="center"/>
            </w:pPr>
            <w:r w:rsidRPr="00083C7B">
              <w:t>Bs.</w:t>
            </w:r>
          </w:p>
          <w:p w14:paraId="1ADA363E" w14:textId="77777777" w:rsidR="00F05EE2" w:rsidRPr="00130D6C" w:rsidRDefault="00F05EE2" w:rsidP="00F05EE2">
            <w:pPr>
              <w:jc w:val="center"/>
              <w:rPr>
                <w:b/>
              </w:rPr>
            </w:pPr>
            <w:r w:rsidRPr="00083C7B">
              <w:t>2.500.000.000</w:t>
            </w:r>
          </w:p>
        </w:tc>
      </w:tr>
    </w:tbl>
    <w:p w14:paraId="3168E139" w14:textId="77777777" w:rsidR="00F05EE2" w:rsidRDefault="00F05EE2" w:rsidP="00F05EE2"/>
    <w:p w14:paraId="1F9508D2" w14:textId="77777777" w:rsidR="00F05EE2" w:rsidRDefault="00F05EE2" w:rsidP="00F05EE2"/>
    <w:p w14:paraId="33803436" w14:textId="77777777" w:rsidR="00F05EE2" w:rsidRDefault="00F05EE2" w:rsidP="00F05EE2"/>
    <w:p w14:paraId="585FBFE0" w14:textId="77777777" w:rsidR="00F05EE2" w:rsidRDefault="00F05EE2" w:rsidP="00F05EE2"/>
    <w:tbl>
      <w:tblPr>
        <w:tblStyle w:val="Tablaconcuadrcula"/>
        <w:tblpPr w:leftFromText="141" w:rightFromText="141" w:vertAnchor="text" w:horzAnchor="margin" w:tblpY="655"/>
        <w:tblW w:w="14305" w:type="dxa"/>
        <w:tblLook w:val="04A0" w:firstRow="1" w:lastRow="0" w:firstColumn="1" w:lastColumn="0" w:noHBand="0" w:noVBand="1"/>
      </w:tblPr>
      <w:tblGrid>
        <w:gridCol w:w="14305"/>
      </w:tblGrid>
      <w:tr w:rsidR="00F05EE2" w:rsidRPr="00130D6C" w14:paraId="259C4F82" w14:textId="77777777" w:rsidTr="00F05EE2">
        <w:trPr>
          <w:trHeight w:val="1833"/>
        </w:trPr>
        <w:tc>
          <w:tcPr>
            <w:tcW w:w="14305" w:type="dxa"/>
          </w:tcPr>
          <w:p w14:paraId="3C7668B9" w14:textId="416E9A58" w:rsidR="00F05EE2" w:rsidRDefault="00E50D7D" w:rsidP="00E50D7D">
            <w:pPr>
              <w:jc w:val="both"/>
            </w:pPr>
            <w:r>
              <w:t>Tenemos 7 proyectos</w:t>
            </w:r>
            <w:r w:rsidR="008C2315">
              <w:t xml:space="preserve"> adicionales que desean inversió</w:t>
            </w:r>
            <w:r>
              <w:t>n de capital de nuestra empresa.</w:t>
            </w:r>
          </w:p>
        </w:tc>
      </w:tr>
    </w:tbl>
    <w:p w14:paraId="674BCBC2" w14:textId="77777777" w:rsidR="00477A98" w:rsidRPr="003750F0" w:rsidRDefault="00477A98" w:rsidP="00477A98">
      <w:pPr>
        <w:spacing w:line="360" w:lineRule="auto"/>
        <w:rPr>
          <w:rFonts w:ascii="Calibri" w:hAnsi="Calibri"/>
          <w:lang w:val="es-VE"/>
        </w:rPr>
      </w:pPr>
    </w:p>
    <w:p w14:paraId="49B96819" w14:textId="6F5B893F" w:rsidR="00477A98" w:rsidRPr="003750F0" w:rsidRDefault="00477A98" w:rsidP="00477A98">
      <w:pPr>
        <w:spacing w:line="360" w:lineRule="auto"/>
        <w:rPr>
          <w:rFonts w:ascii="Calibri" w:hAnsi="Calibri"/>
          <w:lang w:val="es-VE"/>
        </w:rPr>
      </w:pPr>
    </w:p>
    <w:p w14:paraId="68DB644A" w14:textId="77777777" w:rsidR="00477A98" w:rsidRPr="003750F0" w:rsidRDefault="00477A98" w:rsidP="00477A98">
      <w:pPr>
        <w:spacing w:line="360" w:lineRule="auto"/>
        <w:rPr>
          <w:rFonts w:ascii="Calibri" w:hAnsi="Calibri"/>
          <w:lang w:val="es-VE"/>
        </w:rPr>
      </w:pPr>
    </w:p>
    <w:p w14:paraId="13A73AD6" w14:textId="1D069DD6" w:rsidR="00477A98" w:rsidRPr="003750F0" w:rsidRDefault="00477A98" w:rsidP="00477A98">
      <w:pPr>
        <w:spacing w:line="360" w:lineRule="auto"/>
        <w:rPr>
          <w:rFonts w:ascii="Calibri" w:hAnsi="Calibri"/>
          <w:lang w:val="es-VE"/>
        </w:rPr>
      </w:pPr>
      <w:r>
        <w:rPr>
          <w:rFonts w:ascii="Calibri" w:hAnsi="Calibri"/>
          <w:lang w:val="es-VE"/>
        </w:rPr>
        <w:t>Las regulaciones de precio y el  estricto control de cambio en el país  ha</w:t>
      </w:r>
      <w:r w:rsidR="008C2315">
        <w:rPr>
          <w:rFonts w:ascii="Calibri" w:hAnsi="Calibri"/>
          <w:lang w:val="es-VE"/>
        </w:rPr>
        <w:t>n</w:t>
      </w:r>
      <w:r>
        <w:rPr>
          <w:rFonts w:ascii="Calibri" w:hAnsi="Calibri"/>
          <w:lang w:val="es-VE"/>
        </w:rPr>
        <w:t xml:space="preserve"> afectado a nuestra compañía en los últimos años. Sin embargo, observamos que nuestra situación en cierta manera es positiva. Vemos en el entorno muchas empresas grandes con dificultades para recuperar sus inversiones  y hasta  de reponer inventarios.   Esperamos con mucho interés los  cambios en la politica economica que adelanta el </w:t>
      </w:r>
      <w:r w:rsidR="008C2315">
        <w:rPr>
          <w:rFonts w:ascii="Calibri" w:hAnsi="Calibri"/>
          <w:lang w:val="es-VE"/>
        </w:rPr>
        <w:lastRenderedPageBreak/>
        <w:t xml:space="preserve">Ejecutivo Nacional de </w:t>
      </w:r>
      <w:r>
        <w:rPr>
          <w:rFonts w:ascii="Calibri" w:hAnsi="Calibri"/>
          <w:lang w:val="es-VE"/>
        </w:rPr>
        <w:t xml:space="preserve"> manera</w:t>
      </w:r>
      <w:r w:rsidR="008C2315">
        <w:rPr>
          <w:rFonts w:ascii="Calibri" w:hAnsi="Calibri"/>
          <w:lang w:val="es-VE"/>
        </w:rPr>
        <w:t xml:space="preserve"> que</w:t>
      </w:r>
      <w:r>
        <w:rPr>
          <w:rFonts w:ascii="Calibri" w:hAnsi="Calibri"/>
          <w:lang w:val="es-VE"/>
        </w:rPr>
        <w:t xml:space="preserve">  permitan superar varias  regulaciones que hacen poco viables la inversión en diversos sectores de  la nacion. </w:t>
      </w:r>
    </w:p>
    <w:p w14:paraId="1188D739" w14:textId="77777777" w:rsidR="00477A98" w:rsidRPr="003750F0" w:rsidRDefault="00477A98" w:rsidP="00477A98">
      <w:pPr>
        <w:spacing w:line="360" w:lineRule="auto"/>
        <w:ind w:left="360"/>
        <w:rPr>
          <w:rFonts w:ascii="Calibri" w:hAnsi="Calibri"/>
          <w:lang w:val="es-VE"/>
        </w:rPr>
      </w:pPr>
    </w:p>
    <w:p w14:paraId="49B55104" w14:textId="77777777" w:rsidR="00477A98" w:rsidRPr="003750F0" w:rsidRDefault="00477A98" w:rsidP="00477A98">
      <w:pPr>
        <w:spacing w:line="360" w:lineRule="auto"/>
        <w:ind w:left="360"/>
        <w:rPr>
          <w:rFonts w:ascii="Calibri" w:hAnsi="Calibri"/>
          <w:lang w:val="es-VE"/>
        </w:rPr>
      </w:pPr>
    </w:p>
    <w:p w14:paraId="4BF1DFD8" w14:textId="77777777" w:rsidR="00477A98" w:rsidRPr="003750F0" w:rsidRDefault="00477A98" w:rsidP="00477A98">
      <w:pPr>
        <w:spacing w:line="360" w:lineRule="auto"/>
        <w:rPr>
          <w:rFonts w:ascii="Calibri" w:hAnsi="Calibri"/>
          <w:lang w:val="es-VE"/>
        </w:rPr>
      </w:pPr>
    </w:p>
    <w:p w14:paraId="19252FB2" w14:textId="77777777" w:rsidR="00477A98" w:rsidRPr="003750F0" w:rsidRDefault="00477A98" w:rsidP="00477A98">
      <w:pPr>
        <w:spacing w:line="360" w:lineRule="auto"/>
        <w:rPr>
          <w:rFonts w:ascii="Calibri" w:hAnsi="Calibri"/>
          <w:lang w:val="es-VE"/>
        </w:rPr>
      </w:pPr>
    </w:p>
    <w:p w14:paraId="42A38B6B" w14:textId="77777777" w:rsidR="00477A98" w:rsidRPr="003750F0" w:rsidRDefault="00477A98" w:rsidP="00477A98">
      <w:pPr>
        <w:spacing w:line="360" w:lineRule="auto"/>
        <w:rPr>
          <w:rFonts w:ascii="Calibri" w:hAnsi="Calibri"/>
          <w:lang w:val="es-VE"/>
        </w:rPr>
      </w:pPr>
    </w:p>
    <w:p w14:paraId="172853DA" w14:textId="77777777" w:rsidR="00477A98" w:rsidRPr="003750F0" w:rsidRDefault="00477A98" w:rsidP="00477A98">
      <w:pPr>
        <w:spacing w:line="360" w:lineRule="auto"/>
        <w:rPr>
          <w:rFonts w:ascii="Calibri" w:hAnsi="Calibri"/>
          <w:lang w:val="es-VE"/>
        </w:rPr>
      </w:pPr>
    </w:p>
    <w:p w14:paraId="01258CB8" w14:textId="77777777" w:rsidR="00477A98" w:rsidRPr="003750F0" w:rsidRDefault="00477A98" w:rsidP="00477A98">
      <w:pPr>
        <w:spacing w:line="360" w:lineRule="auto"/>
        <w:rPr>
          <w:rFonts w:ascii="Calibri" w:hAnsi="Calibri"/>
          <w:lang w:val="es-VE"/>
        </w:rPr>
      </w:pPr>
    </w:p>
    <w:p w14:paraId="18941D01" w14:textId="77777777" w:rsidR="00477A98" w:rsidRPr="003750F0" w:rsidRDefault="00477A98" w:rsidP="00477A98">
      <w:pPr>
        <w:spacing w:line="360" w:lineRule="auto"/>
        <w:rPr>
          <w:rFonts w:ascii="Calibri" w:hAnsi="Calibri"/>
          <w:lang w:val="es-VE"/>
        </w:rPr>
      </w:pPr>
    </w:p>
    <w:p w14:paraId="05295EA6" w14:textId="77777777" w:rsidR="00477A98" w:rsidRPr="003750F0" w:rsidRDefault="00477A98" w:rsidP="00477A98">
      <w:pPr>
        <w:spacing w:line="360" w:lineRule="auto"/>
        <w:rPr>
          <w:rFonts w:ascii="Calibri" w:hAnsi="Calibri"/>
          <w:lang w:val="es-VE"/>
        </w:rPr>
      </w:pPr>
      <w:r w:rsidRPr="003750F0">
        <w:rPr>
          <w:rFonts w:ascii="Calibri" w:hAnsi="Calibri"/>
          <w:lang w:val="es-VE"/>
        </w:rPr>
        <w:t xml:space="preserve"> </w:t>
      </w:r>
    </w:p>
    <w:p w14:paraId="1F20B686" w14:textId="77777777" w:rsidR="00477A98" w:rsidRPr="003750F0" w:rsidRDefault="00477A98" w:rsidP="00477A98">
      <w:pPr>
        <w:spacing w:line="360" w:lineRule="auto"/>
        <w:rPr>
          <w:rFonts w:ascii="Calibri" w:hAnsi="Calibri"/>
          <w:lang w:val="es-VE"/>
        </w:rPr>
      </w:pPr>
    </w:p>
    <w:p w14:paraId="4506F4F4" w14:textId="77777777" w:rsidR="00477A98" w:rsidRPr="003750F0" w:rsidRDefault="00477A98" w:rsidP="00477A98">
      <w:pPr>
        <w:spacing w:line="360" w:lineRule="auto"/>
        <w:rPr>
          <w:rFonts w:ascii="Calibri" w:hAnsi="Calibri"/>
          <w:lang w:val="es-VE"/>
        </w:rPr>
      </w:pPr>
    </w:p>
    <w:p w14:paraId="36F014A9" w14:textId="77777777" w:rsidR="008A1B9D" w:rsidRDefault="008A1B9D"/>
    <w:sectPr w:rsidR="008A1B9D" w:rsidSect="00477A98">
      <w:footerReference w:type="even" r:id="rId10"/>
      <w:footerReference w:type="default" r:id="rId11"/>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C2C94" w14:textId="77777777" w:rsidR="00F05EE2" w:rsidRDefault="00F05EE2">
      <w:r>
        <w:separator/>
      </w:r>
    </w:p>
  </w:endnote>
  <w:endnote w:type="continuationSeparator" w:id="0">
    <w:p w14:paraId="2A9E610F" w14:textId="77777777" w:rsidR="00F05EE2" w:rsidRDefault="00F0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C044C" w14:textId="77777777" w:rsidR="00F05EE2" w:rsidRDefault="00F05EE2" w:rsidP="00477A9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2DCC1F" w14:textId="77777777" w:rsidR="00F05EE2" w:rsidRDefault="00F05EE2" w:rsidP="00477A9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1E830" w14:textId="77777777" w:rsidR="00F05EE2" w:rsidRDefault="00F05EE2" w:rsidP="00477A9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1ED5">
      <w:rPr>
        <w:rStyle w:val="Nmerodepgina"/>
        <w:noProof/>
      </w:rPr>
      <w:t>1</w:t>
    </w:r>
    <w:r>
      <w:rPr>
        <w:rStyle w:val="Nmerodepgina"/>
      </w:rPr>
      <w:fldChar w:fldCharType="end"/>
    </w:r>
  </w:p>
  <w:p w14:paraId="1AE55CCC" w14:textId="77777777" w:rsidR="00F05EE2" w:rsidRDefault="00F05EE2" w:rsidP="00477A9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33FC9" w14:textId="77777777" w:rsidR="00F05EE2" w:rsidRDefault="00F05EE2">
      <w:r>
        <w:separator/>
      </w:r>
    </w:p>
  </w:footnote>
  <w:footnote w:type="continuationSeparator" w:id="0">
    <w:p w14:paraId="6879D4F8" w14:textId="77777777" w:rsidR="00F05EE2" w:rsidRDefault="00F05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2D0"/>
    <w:multiLevelType w:val="hybridMultilevel"/>
    <w:tmpl w:val="C0BEB1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53E5CFE"/>
    <w:multiLevelType w:val="hybridMultilevel"/>
    <w:tmpl w:val="4B820C7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AB5397E"/>
    <w:multiLevelType w:val="hybridMultilevel"/>
    <w:tmpl w:val="076634B6"/>
    <w:lvl w:ilvl="0" w:tplc="5620A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63530"/>
    <w:multiLevelType w:val="hybridMultilevel"/>
    <w:tmpl w:val="3F0887CE"/>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FD419BE"/>
    <w:multiLevelType w:val="hybridMultilevel"/>
    <w:tmpl w:val="964A17BA"/>
    <w:lvl w:ilvl="0" w:tplc="200A0001">
      <w:start w:val="1"/>
      <w:numFmt w:val="bullet"/>
      <w:lvlText w:val=""/>
      <w:lvlJc w:val="left"/>
      <w:pPr>
        <w:ind w:left="761" w:hanging="360"/>
      </w:pPr>
      <w:rPr>
        <w:rFonts w:ascii="Symbol" w:hAnsi="Symbol" w:hint="default"/>
      </w:rPr>
    </w:lvl>
    <w:lvl w:ilvl="1" w:tplc="200A0003" w:tentative="1">
      <w:start w:val="1"/>
      <w:numFmt w:val="bullet"/>
      <w:lvlText w:val="o"/>
      <w:lvlJc w:val="left"/>
      <w:pPr>
        <w:ind w:left="1481" w:hanging="360"/>
      </w:pPr>
      <w:rPr>
        <w:rFonts w:ascii="Courier New" w:hAnsi="Courier New" w:cs="Courier New" w:hint="default"/>
      </w:rPr>
    </w:lvl>
    <w:lvl w:ilvl="2" w:tplc="200A0005" w:tentative="1">
      <w:start w:val="1"/>
      <w:numFmt w:val="bullet"/>
      <w:lvlText w:val=""/>
      <w:lvlJc w:val="left"/>
      <w:pPr>
        <w:ind w:left="2201" w:hanging="360"/>
      </w:pPr>
      <w:rPr>
        <w:rFonts w:ascii="Wingdings" w:hAnsi="Wingdings" w:hint="default"/>
      </w:rPr>
    </w:lvl>
    <w:lvl w:ilvl="3" w:tplc="200A0001" w:tentative="1">
      <w:start w:val="1"/>
      <w:numFmt w:val="bullet"/>
      <w:lvlText w:val=""/>
      <w:lvlJc w:val="left"/>
      <w:pPr>
        <w:ind w:left="2921" w:hanging="360"/>
      </w:pPr>
      <w:rPr>
        <w:rFonts w:ascii="Symbol" w:hAnsi="Symbol" w:hint="default"/>
      </w:rPr>
    </w:lvl>
    <w:lvl w:ilvl="4" w:tplc="200A0003" w:tentative="1">
      <w:start w:val="1"/>
      <w:numFmt w:val="bullet"/>
      <w:lvlText w:val="o"/>
      <w:lvlJc w:val="left"/>
      <w:pPr>
        <w:ind w:left="3641" w:hanging="360"/>
      </w:pPr>
      <w:rPr>
        <w:rFonts w:ascii="Courier New" w:hAnsi="Courier New" w:cs="Courier New" w:hint="default"/>
      </w:rPr>
    </w:lvl>
    <w:lvl w:ilvl="5" w:tplc="200A0005" w:tentative="1">
      <w:start w:val="1"/>
      <w:numFmt w:val="bullet"/>
      <w:lvlText w:val=""/>
      <w:lvlJc w:val="left"/>
      <w:pPr>
        <w:ind w:left="4361" w:hanging="360"/>
      </w:pPr>
      <w:rPr>
        <w:rFonts w:ascii="Wingdings" w:hAnsi="Wingdings" w:hint="default"/>
      </w:rPr>
    </w:lvl>
    <w:lvl w:ilvl="6" w:tplc="200A0001" w:tentative="1">
      <w:start w:val="1"/>
      <w:numFmt w:val="bullet"/>
      <w:lvlText w:val=""/>
      <w:lvlJc w:val="left"/>
      <w:pPr>
        <w:ind w:left="5081" w:hanging="360"/>
      </w:pPr>
      <w:rPr>
        <w:rFonts w:ascii="Symbol" w:hAnsi="Symbol" w:hint="default"/>
      </w:rPr>
    </w:lvl>
    <w:lvl w:ilvl="7" w:tplc="200A0003" w:tentative="1">
      <w:start w:val="1"/>
      <w:numFmt w:val="bullet"/>
      <w:lvlText w:val="o"/>
      <w:lvlJc w:val="left"/>
      <w:pPr>
        <w:ind w:left="5801" w:hanging="360"/>
      </w:pPr>
      <w:rPr>
        <w:rFonts w:ascii="Courier New" w:hAnsi="Courier New" w:cs="Courier New" w:hint="default"/>
      </w:rPr>
    </w:lvl>
    <w:lvl w:ilvl="8" w:tplc="200A0005" w:tentative="1">
      <w:start w:val="1"/>
      <w:numFmt w:val="bullet"/>
      <w:lvlText w:val=""/>
      <w:lvlJc w:val="left"/>
      <w:pPr>
        <w:ind w:left="6521" w:hanging="360"/>
      </w:pPr>
      <w:rPr>
        <w:rFonts w:ascii="Wingdings" w:hAnsi="Wingdings" w:hint="default"/>
      </w:rPr>
    </w:lvl>
  </w:abstractNum>
  <w:abstractNum w:abstractNumId="5">
    <w:nsid w:val="525E2B96"/>
    <w:multiLevelType w:val="hybridMultilevel"/>
    <w:tmpl w:val="83943BE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5A2E56B2"/>
    <w:multiLevelType w:val="hybridMultilevel"/>
    <w:tmpl w:val="55D2EC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F191C0D"/>
    <w:multiLevelType w:val="hybridMultilevel"/>
    <w:tmpl w:val="5CAEEA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98"/>
    <w:rsid w:val="00031BC8"/>
    <w:rsid w:val="002E6064"/>
    <w:rsid w:val="00331FF0"/>
    <w:rsid w:val="00351320"/>
    <w:rsid w:val="00366E91"/>
    <w:rsid w:val="00383291"/>
    <w:rsid w:val="003F1ED5"/>
    <w:rsid w:val="003F5FCC"/>
    <w:rsid w:val="00445F86"/>
    <w:rsid w:val="00477A98"/>
    <w:rsid w:val="006F488B"/>
    <w:rsid w:val="006F5254"/>
    <w:rsid w:val="007469B1"/>
    <w:rsid w:val="007B545D"/>
    <w:rsid w:val="008A1B9D"/>
    <w:rsid w:val="008C2315"/>
    <w:rsid w:val="00A17677"/>
    <w:rsid w:val="00A260E4"/>
    <w:rsid w:val="00A47B82"/>
    <w:rsid w:val="00C10C76"/>
    <w:rsid w:val="00CF43DD"/>
    <w:rsid w:val="00D17555"/>
    <w:rsid w:val="00D30451"/>
    <w:rsid w:val="00E50D7D"/>
    <w:rsid w:val="00E84B68"/>
    <w:rsid w:val="00EA69EF"/>
    <w:rsid w:val="00F05EE2"/>
    <w:rsid w:val="00F4742E"/>
    <w:rsid w:val="00F8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9B4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98"/>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77A98"/>
    <w:pPr>
      <w:tabs>
        <w:tab w:val="center" w:pos="4419"/>
        <w:tab w:val="right" w:pos="8838"/>
      </w:tabs>
    </w:pPr>
    <w:rPr>
      <w:rFonts w:ascii="Calibri" w:eastAsia="Calibri" w:hAnsi="Calibri"/>
      <w:sz w:val="22"/>
      <w:szCs w:val="22"/>
      <w:lang w:val="es-PE" w:eastAsia="en-US"/>
    </w:rPr>
  </w:style>
  <w:style w:type="character" w:customStyle="1" w:styleId="PiedepginaCar">
    <w:name w:val="Pie de página Car"/>
    <w:basedOn w:val="Fuentedeprrafopredeter"/>
    <w:link w:val="Piedepgina"/>
    <w:uiPriority w:val="99"/>
    <w:rsid w:val="00477A98"/>
    <w:rPr>
      <w:rFonts w:ascii="Calibri" w:eastAsia="Calibri" w:hAnsi="Calibri" w:cs="Times New Roman"/>
      <w:sz w:val="22"/>
      <w:szCs w:val="22"/>
      <w:lang w:val="es-PE"/>
    </w:rPr>
  </w:style>
  <w:style w:type="paragraph" w:styleId="Prrafodelista">
    <w:name w:val="List Paragraph"/>
    <w:basedOn w:val="Normal"/>
    <w:uiPriority w:val="34"/>
    <w:qFormat/>
    <w:rsid w:val="00477A98"/>
    <w:pPr>
      <w:spacing w:after="200" w:line="276" w:lineRule="auto"/>
      <w:ind w:left="720"/>
      <w:contextualSpacing/>
    </w:pPr>
    <w:rPr>
      <w:rFonts w:ascii="Calibri" w:eastAsia="Calibri" w:hAnsi="Calibri"/>
      <w:sz w:val="22"/>
      <w:szCs w:val="22"/>
      <w:lang w:val="es-VE" w:eastAsia="en-US"/>
    </w:rPr>
  </w:style>
  <w:style w:type="character" w:styleId="Nmerodepgina">
    <w:name w:val="page number"/>
    <w:rsid w:val="00477A98"/>
  </w:style>
  <w:style w:type="paragraph" w:styleId="Textodeglobo">
    <w:name w:val="Balloon Text"/>
    <w:basedOn w:val="Normal"/>
    <w:link w:val="TextodegloboCar"/>
    <w:uiPriority w:val="99"/>
    <w:semiHidden/>
    <w:unhideWhenUsed/>
    <w:rsid w:val="00477A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77A98"/>
    <w:rPr>
      <w:rFonts w:ascii="Lucida Grande" w:eastAsia="Times New Roman" w:hAnsi="Lucida Grande" w:cs="Lucida Grande"/>
      <w:sz w:val="18"/>
      <w:szCs w:val="18"/>
      <w:lang w:val="es-ES" w:eastAsia="es-ES"/>
    </w:rPr>
  </w:style>
  <w:style w:type="table" w:styleId="Tablaconcuadrcula">
    <w:name w:val="Table Grid"/>
    <w:basedOn w:val="Tablanormal"/>
    <w:uiPriority w:val="59"/>
    <w:rsid w:val="00F05EE2"/>
    <w:rPr>
      <w:rFonts w:eastAsiaTheme="minorHAnsi"/>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98"/>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77A98"/>
    <w:pPr>
      <w:tabs>
        <w:tab w:val="center" w:pos="4419"/>
        <w:tab w:val="right" w:pos="8838"/>
      </w:tabs>
    </w:pPr>
    <w:rPr>
      <w:rFonts w:ascii="Calibri" w:eastAsia="Calibri" w:hAnsi="Calibri"/>
      <w:sz w:val="22"/>
      <w:szCs w:val="22"/>
      <w:lang w:val="es-PE" w:eastAsia="en-US"/>
    </w:rPr>
  </w:style>
  <w:style w:type="character" w:customStyle="1" w:styleId="PiedepginaCar">
    <w:name w:val="Pie de página Car"/>
    <w:basedOn w:val="Fuentedeprrafopredeter"/>
    <w:link w:val="Piedepgina"/>
    <w:uiPriority w:val="99"/>
    <w:rsid w:val="00477A98"/>
    <w:rPr>
      <w:rFonts w:ascii="Calibri" w:eastAsia="Calibri" w:hAnsi="Calibri" w:cs="Times New Roman"/>
      <w:sz w:val="22"/>
      <w:szCs w:val="22"/>
      <w:lang w:val="es-PE"/>
    </w:rPr>
  </w:style>
  <w:style w:type="paragraph" w:styleId="Prrafodelista">
    <w:name w:val="List Paragraph"/>
    <w:basedOn w:val="Normal"/>
    <w:uiPriority w:val="34"/>
    <w:qFormat/>
    <w:rsid w:val="00477A98"/>
    <w:pPr>
      <w:spacing w:after="200" w:line="276" w:lineRule="auto"/>
      <w:ind w:left="720"/>
      <w:contextualSpacing/>
    </w:pPr>
    <w:rPr>
      <w:rFonts w:ascii="Calibri" w:eastAsia="Calibri" w:hAnsi="Calibri"/>
      <w:sz w:val="22"/>
      <w:szCs w:val="22"/>
      <w:lang w:val="es-VE" w:eastAsia="en-US"/>
    </w:rPr>
  </w:style>
  <w:style w:type="character" w:styleId="Nmerodepgina">
    <w:name w:val="page number"/>
    <w:rsid w:val="00477A98"/>
  </w:style>
  <w:style w:type="paragraph" w:styleId="Textodeglobo">
    <w:name w:val="Balloon Text"/>
    <w:basedOn w:val="Normal"/>
    <w:link w:val="TextodegloboCar"/>
    <w:uiPriority w:val="99"/>
    <w:semiHidden/>
    <w:unhideWhenUsed/>
    <w:rsid w:val="00477A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77A98"/>
    <w:rPr>
      <w:rFonts w:ascii="Lucida Grande" w:eastAsia="Times New Roman" w:hAnsi="Lucida Grande" w:cs="Lucida Grande"/>
      <w:sz w:val="18"/>
      <w:szCs w:val="18"/>
      <w:lang w:val="es-ES" w:eastAsia="es-ES"/>
    </w:rPr>
  </w:style>
  <w:style w:type="table" w:styleId="Tablaconcuadrcula">
    <w:name w:val="Table Grid"/>
    <w:basedOn w:val="Tablanormal"/>
    <w:uiPriority w:val="59"/>
    <w:rsid w:val="00F05EE2"/>
    <w:rPr>
      <w:rFonts w:eastAsiaTheme="minorHAnsi"/>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6F6D-06F2-49C0-BC09-BDD45DE9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1435</Words>
  <Characters>7896</Characters>
  <Application>Microsoft Office Word</Application>
  <DocSecurity>0</DocSecurity>
  <Lines>65</Lines>
  <Paragraphs>18</Paragraphs>
  <ScaleCrop>false</ScaleCrop>
  <Company>CrecePymes</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Sucre</dc:creator>
  <cp:keywords/>
  <dc:description/>
  <cp:lastModifiedBy>CrecePymes02</cp:lastModifiedBy>
  <cp:revision>9</cp:revision>
  <dcterms:created xsi:type="dcterms:W3CDTF">2015-04-11T22:34:00Z</dcterms:created>
  <dcterms:modified xsi:type="dcterms:W3CDTF">2017-04-20T15:56:00Z</dcterms:modified>
</cp:coreProperties>
</file>